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B19438">
      <w:pPr>
        <w:spacing w:before="72" w:line="218" w:lineRule="auto"/>
        <w:ind w:left="2391"/>
        <w:outlineLvl w:val="0"/>
        <w:rPr>
          <w:rFonts w:ascii="黑体" w:hAnsi="黑体" w:eastAsia="黑体" w:cs="黑体"/>
          <w:sz w:val="36"/>
          <w:szCs w:val="36"/>
        </w:rPr>
      </w:pPr>
      <w:r>
        <w:rPr>
          <w:rFonts w:ascii="黑体" w:hAnsi="黑体" w:eastAsia="黑体" w:cs="黑体"/>
          <w:b/>
          <w:bCs/>
          <w:spacing w:val="-5"/>
          <w:sz w:val="36"/>
          <w:szCs w:val="36"/>
        </w:rPr>
        <w:t>化学品安全技术说明书</w:t>
      </w:r>
    </w:p>
    <w:p w14:paraId="4126AD86">
      <w:pPr>
        <w:pStyle w:val="2"/>
        <w:spacing w:before="199" w:line="220" w:lineRule="auto"/>
        <w:jc w:val="center"/>
        <w:outlineLvl w:val="0"/>
        <w:rPr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>第一部分</w:t>
      </w:r>
      <w:r>
        <w:rPr>
          <w:spacing w:val="-2"/>
          <w:sz w:val="28"/>
          <w:szCs w:val="28"/>
        </w:rPr>
        <w:t xml:space="preserve">     </w:t>
      </w:r>
      <w:r>
        <w:rPr>
          <w:b/>
          <w:bCs/>
          <w:spacing w:val="-2"/>
          <w:sz w:val="28"/>
          <w:szCs w:val="28"/>
        </w:rPr>
        <w:t>化学品及企业标识</w:t>
      </w:r>
    </w:p>
    <w:p w14:paraId="6D986E62">
      <w:pPr>
        <w:spacing w:line="321" w:lineRule="auto"/>
        <w:rPr>
          <w:rFonts w:ascii="Arial"/>
          <w:sz w:val="21"/>
        </w:rPr>
      </w:pPr>
    </w:p>
    <w:p w14:paraId="60ADA5B5">
      <w:pPr>
        <w:spacing w:line="321" w:lineRule="auto"/>
        <w:rPr>
          <w:rFonts w:ascii="Arial"/>
          <w:sz w:val="21"/>
        </w:rPr>
      </w:pPr>
    </w:p>
    <w:p w14:paraId="7CB2511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8" w:line="360" w:lineRule="auto"/>
        <w:ind w:left="37" w:firstLine="478" w:firstLineChars="200"/>
        <w:textAlignment w:val="baseline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spacing w:val="-1"/>
          <w:sz w:val="24"/>
          <w:szCs w:val="24"/>
        </w:rPr>
        <w:t>化学品中文名</w:t>
      </w:r>
      <w:r>
        <w:rPr>
          <w:rFonts w:hint="eastAsia" w:ascii="黑体" w:hAnsi="黑体" w:eastAsia="黑体" w:cs="黑体"/>
          <w:spacing w:val="-1"/>
          <w:sz w:val="24"/>
          <w:szCs w:val="24"/>
        </w:rPr>
        <w:t>：氢氧化钠；苛性钠;  烧碱</w:t>
      </w:r>
    </w:p>
    <w:p w14:paraId="56943BE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14" w:line="360" w:lineRule="auto"/>
        <w:ind w:left="37" w:firstLine="478" w:firstLineChars="200"/>
        <w:textAlignment w:val="baseline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spacing w:val="-1"/>
          <w:sz w:val="24"/>
          <w:szCs w:val="24"/>
        </w:rPr>
        <w:t>化学品俗名</w:t>
      </w:r>
      <w:r>
        <w:rPr>
          <w:rFonts w:hint="eastAsia" w:ascii="黑体" w:hAnsi="黑体" w:eastAsia="黑体" w:cs="黑体"/>
          <w:spacing w:val="-1"/>
          <w:sz w:val="24"/>
          <w:szCs w:val="24"/>
        </w:rPr>
        <w:t>：氢氧化钠；苛性钠;  烧碱</w:t>
      </w:r>
    </w:p>
    <w:p w14:paraId="487F09F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16" w:line="360" w:lineRule="auto"/>
        <w:ind w:firstLine="546" w:firstLineChars="200"/>
        <w:jc w:val="both"/>
        <w:textAlignment w:val="baseline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spacing w:val="16"/>
          <w:sz w:val="24"/>
          <w:szCs w:val="24"/>
        </w:rPr>
        <w:t>化学品英文名</w:t>
      </w:r>
      <w:r>
        <w:rPr>
          <w:rFonts w:hint="eastAsia" w:ascii="黑体" w:hAnsi="黑体" w:eastAsia="黑体" w:cs="黑体"/>
          <w:spacing w:val="16"/>
          <w:sz w:val="24"/>
          <w:szCs w:val="24"/>
        </w:rPr>
        <w:t>：</w:t>
      </w:r>
      <w:r>
        <w:rPr>
          <w:rFonts w:hint="eastAsia" w:ascii="黑体" w:hAnsi="黑体" w:eastAsia="黑体" w:cs="黑体"/>
          <w:sz w:val="24"/>
          <w:szCs w:val="24"/>
        </w:rPr>
        <w:t>sodium</w:t>
      </w:r>
      <w:r>
        <w:rPr>
          <w:rFonts w:hint="eastAsia" w:ascii="黑体" w:hAnsi="黑体" w:eastAsia="黑体" w:cs="黑体"/>
          <w:spacing w:val="16"/>
          <w:sz w:val="24"/>
          <w:szCs w:val="24"/>
        </w:rPr>
        <w:t xml:space="preserve"> </w:t>
      </w:r>
      <w:r>
        <w:rPr>
          <w:rFonts w:hint="eastAsia" w:ascii="黑体" w:hAnsi="黑体" w:eastAsia="黑体" w:cs="黑体"/>
          <w:sz w:val="24"/>
          <w:szCs w:val="24"/>
        </w:rPr>
        <w:t>hydroxide</w:t>
      </w:r>
      <w:r>
        <w:rPr>
          <w:rFonts w:hint="eastAsia" w:ascii="黑体" w:hAnsi="黑体" w:eastAsia="黑体" w:cs="黑体"/>
          <w:spacing w:val="16"/>
          <w:sz w:val="24"/>
          <w:szCs w:val="24"/>
        </w:rPr>
        <w:t>;</w:t>
      </w:r>
      <w:r>
        <w:rPr>
          <w:rFonts w:hint="eastAsia" w:ascii="黑体" w:hAnsi="黑体" w:eastAsia="黑体" w:cs="黑体"/>
          <w:sz w:val="24"/>
          <w:szCs w:val="24"/>
        </w:rPr>
        <w:t>caustic</w:t>
      </w:r>
      <w:r>
        <w:rPr>
          <w:rFonts w:hint="eastAsia" w:ascii="黑体" w:hAnsi="黑体" w:eastAsia="黑体" w:cs="黑体"/>
          <w:spacing w:val="16"/>
          <w:sz w:val="24"/>
          <w:szCs w:val="24"/>
        </w:rPr>
        <w:t xml:space="preserve"> </w:t>
      </w:r>
      <w:r>
        <w:rPr>
          <w:rFonts w:hint="eastAsia" w:ascii="黑体" w:hAnsi="黑体" w:eastAsia="黑体" w:cs="黑体"/>
          <w:sz w:val="24"/>
          <w:szCs w:val="24"/>
        </w:rPr>
        <w:t>soda</w:t>
      </w:r>
      <w:r>
        <w:rPr>
          <w:rFonts w:hint="eastAsia" w:ascii="黑体" w:hAnsi="黑体" w:eastAsia="黑体" w:cs="黑体"/>
          <w:spacing w:val="16"/>
          <w:sz w:val="24"/>
          <w:szCs w:val="24"/>
        </w:rPr>
        <w:t>;</w:t>
      </w:r>
      <w:r>
        <w:rPr>
          <w:rFonts w:hint="eastAsia" w:ascii="黑体" w:hAnsi="黑体" w:eastAsia="黑体" w:cs="黑体"/>
          <w:sz w:val="24"/>
          <w:szCs w:val="24"/>
        </w:rPr>
        <w:t>sodium</w:t>
      </w:r>
      <w:r>
        <w:rPr>
          <w:rFonts w:hint="eastAsia" w:ascii="黑体" w:hAnsi="黑体" w:eastAsia="黑体" w:cs="黑体"/>
          <w:spacing w:val="16"/>
          <w:sz w:val="24"/>
          <w:szCs w:val="24"/>
        </w:rPr>
        <w:t xml:space="preserve"> </w:t>
      </w:r>
      <w:r>
        <w:rPr>
          <w:rFonts w:hint="eastAsia" w:ascii="黑体" w:hAnsi="黑体" w:eastAsia="黑体" w:cs="黑体"/>
          <w:sz w:val="24"/>
          <w:szCs w:val="24"/>
        </w:rPr>
        <w:t>hydrate</w:t>
      </w:r>
    </w:p>
    <w:p w14:paraId="4EC2A025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78" w:firstLineChars="200"/>
        <w:jc w:val="left"/>
        <w:textAlignment w:val="baseline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spacing w:val="-1"/>
          <w:sz w:val="24"/>
          <w:szCs w:val="24"/>
        </w:rPr>
        <w:t>企业名称</w:t>
      </w:r>
      <w:r>
        <w:rPr>
          <w:rFonts w:hint="eastAsia" w:ascii="黑体" w:hAnsi="黑体" w:eastAsia="黑体" w:cs="黑体"/>
          <w:spacing w:val="-1"/>
          <w:sz w:val="24"/>
          <w:szCs w:val="24"/>
        </w:rPr>
        <w:t>：</w:t>
      </w:r>
      <w:r>
        <w:rPr>
          <w:rFonts w:hint="eastAsia" w:ascii="黑体" w:hAnsi="黑体" w:eastAsia="黑体" w:cs="黑体"/>
          <w:snapToGrid w:val="0"/>
          <w:color w:val="000000"/>
          <w:kern w:val="0"/>
          <w:sz w:val="24"/>
          <w:szCs w:val="24"/>
          <w:lang w:val="en-US" w:eastAsia="zh-CN" w:bidi="ar"/>
        </w:rPr>
        <w:t>长沙升阳化工材料有限公司</w:t>
      </w:r>
    </w:p>
    <w:p w14:paraId="5A88A56A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74" w:firstLineChars="200"/>
        <w:jc w:val="left"/>
        <w:textAlignment w:val="baseline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spacing w:val="-2"/>
          <w:sz w:val="24"/>
          <w:szCs w:val="24"/>
        </w:rPr>
        <w:t>地址</w:t>
      </w:r>
      <w:r>
        <w:rPr>
          <w:rFonts w:hint="eastAsia" w:ascii="黑体" w:hAnsi="黑体" w:eastAsia="黑体" w:cs="黑体"/>
          <w:spacing w:val="-2"/>
          <w:sz w:val="24"/>
          <w:szCs w:val="24"/>
        </w:rPr>
        <w:t>：</w:t>
      </w:r>
      <w:r>
        <w:rPr>
          <w:rFonts w:hint="eastAsia" w:ascii="黑体" w:hAnsi="黑体" w:eastAsia="黑体" w:cs="黑体"/>
          <w:snapToGrid w:val="0"/>
          <w:color w:val="000000"/>
          <w:kern w:val="0"/>
          <w:sz w:val="24"/>
          <w:szCs w:val="24"/>
          <w:lang w:val="en-US" w:eastAsia="zh-CN" w:bidi="ar"/>
        </w:rPr>
        <w:t xml:space="preserve">长沙市雨花区雨花亭街道香樟路 819 号万坤图商业 </w:t>
      </w:r>
    </w:p>
    <w:p w14:paraId="4C1FCD2D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80" w:firstLineChars="200"/>
        <w:jc w:val="left"/>
        <w:textAlignment w:val="baseline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napToGrid w:val="0"/>
          <w:color w:val="000000"/>
          <w:kern w:val="0"/>
          <w:sz w:val="24"/>
          <w:szCs w:val="24"/>
          <w:lang w:val="en-US" w:eastAsia="zh-CN" w:bidi="ar"/>
        </w:rPr>
        <w:t>广场 1-1105</w:t>
      </w:r>
    </w:p>
    <w:p w14:paraId="38668499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70" w:firstLineChars="200"/>
        <w:jc w:val="left"/>
        <w:textAlignment w:val="baseline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spacing w:val="-3"/>
          <w:sz w:val="24"/>
          <w:szCs w:val="24"/>
        </w:rPr>
        <w:t>邮政编码</w:t>
      </w:r>
      <w:r>
        <w:rPr>
          <w:rFonts w:hint="eastAsia" w:ascii="黑体" w:hAnsi="黑体" w:eastAsia="黑体" w:cs="黑体"/>
          <w:spacing w:val="-3"/>
          <w:sz w:val="24"/>
          <w:szCs w:val="24"/>
        </w:rPr>
        <w:t>：</w:t>
      </w:r>
      <w:r>
        <w:rPr>
          <w:rFonts w:hint="eastAsia" w:ascii="黑体" w:hAnsi="黑体" w:eastAsia="黑体" w:cs="黑体"/>
          <w:snapToGrid w:val="0"/>
          <w:color w:val="000000"/>
          <w:kern w:val="0"/>
          <w:sz w:val="24"/>
          <w:szCs w:val="24"/>
          <w:lang w:val="en-US" w:eastAsia="zh-CN" w:bidi="ar"/>
        </w:rPr>
        <w:t>410000</w:t>
      </w:r>
    </w:p>
    <w:p w14:paraId="23437EF8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74" w:firstLineChars="200"/>
        <w:jc w:val="left"/>
        <w:textAlignment w:val="baseline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spacing w:val="-2"/>
          <w:sz w:val="24"/>
          <w:szCs w:val="24"/>
        </w:rPr>
        <w:t>企业电话</w:t>
      </w:r>
      <w:r>
        <w:rPr>
          <w:rFonts w:hint="eastAsia" w:ascii="黑体" w:hAnsi="黑体" w:eastAsia="黑体" w:cs="黑体"/>
          <w:spacing w:val="-2"/>
          <w:sz w:val="24"/>
          <w:szCs w:val="24"/>
        </w:rPr>
        <w:t>：</w:t>
      </w:r>
      <w:r>
        <w:rPr>
          <w:rFonts w:hint="eastAsia" w:ascii="黑体" w:hAnsi="黑体" w:eastAsia="黑体" w:cs="黑体"/>
          <w:snapToGrid w:val="0"/>
          <w:color w:val="000000"/>
          <w:kern w:val="0"/>
          <w:sz w:val="24"/>
          <w:szCs w:val="24"/>
          <w:lang w:val="en-US" w:eastAsia="zh-CN" w:bidi="ar"/>
        </w:rPr>
        <w:t>:+0731-84727377 /82314908</w:t>
      </w:r>
    </w:p>
    <w:p w14:paraId="33506D1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02" w:line="360" w:lineRule="auto"/>
        <w:ind w:left="40" w:right="79" w:firstLine="486" w:firstLineChars="200"/>
        <w:jc w:val="left"/>
        <w:textAlignment w:val="baseline"/>
        <w:rPr>
          <w:rFonts w:hint="default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/>
          <w:bCs/>
          <w:spacing w:val="1"/>
          <w:sz w:val="24"/>
          <w:szCs w:val="24"/>
        </w:rPr>
        <w:t>产品推荐及限制用途</w:t>
      </w:r>
      <w:r>
        <w:rPr>
          <w:rFonts w:hint="eastAsia" w:ascii="黑体" w:hAnsi="黑体" w:eastAsia="黑体" w:cs="黑体"/>
          <w:spacing w:val="1"/>
          <w:sz w:val="24"/>
          <w:szCs w:val="24"/>
        </w:rPr>
        <w:t>：广泛用作中和剂、食品添加剂，用于制造各种钠盐、肥皂、纸浆，</w:t>
      </w:r>
      <w:r>
        <w:rPr>
          <w:rFonts w:hint="eastAsia" w:ascii="黑体" w:hAnsi="黑体" w:eastAsia="黑体" w:cs="黑体"/>
          <w:spacing w:val="-1"/>
          <w:sz w:val="24"/>
          <w:szCs w:val="24"/>
        </w:rPr>
        <w:t>整理棉织品、丝、粘胶纤维，橡胶制品的再生，金属清洗，电镀、漂白等。</w:t>
      </w:r>
    </w:p>
    <w:p w14:paraId="55EDC5D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40" w:line="360" w:lineRule="auto"/>
        <w:jc w:val="center"/>
        <w:textAlignment w:val="baseline"/>
        <w:outlineLvl w:val="0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spacing w:val="-2"/>
          <w:sz w:val="24"/>
          <w:szCs w:val="24"/>
        </w:rPr>
        <w:t>第二部分</w:t>
      </w:r>
      <w:r>
        <w:rPr>
          <w:rFonts w:hint="eastAsia" w:ascii="黑体" w:hAnsi="黑体" w:eastAsia="黑体" w:cs="黑体"/>
          <w:spacing w:val="-2"/>
          <w:sz w:val="24"/>
          <w:szCs w:val="24"/>
        </w:rPr>
        <w:t xml:space="preserve">     </w:t>
      </w:r>
      <w:r>
        <w:rPr>
          <w:rFonts w:hint="eastAsia" w:ascii="黑体" w:hAnsi="黑体" w:eastAsia="黑体" w:cs="黑体"/>
          <w:b/>
          <w:bCs/>
          <w:spacing w:val="-2"/>
          <w:sz w:val="24"/>
          <w:szCs w:val="24"/>
        </w:rPr>
        <w:t>危险性概述</w:t>
      </w:r>
    </w:p>
    <w:p w14:paraId="7C7DE53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44" w:line="360" w:lineRule="auto"/>
        <w:ind w:right="495" w:firstLine="478" w:firstLineChars="200"/>
        <w:textAlignment w:val="baseline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spacing w:val="-1"/>
          <w:sz w:val="24"/>
          <w:szCs w:val="24"/>
        </w:rPr>
        <w:t>GHS 类别</w:t>
      </w:r>
      <w:r>
        <w:rPr>
          <w:rFonts w:hint="eastAsia" w:ascii="黑体" w:hAnsi="黑体" w:eastAsia="黑体" w:cs="黑体"/>
          <w:spacing w:val="-1"/>
          <w:sz w:val="24"/>
          <w:szCs w:val="24"/>
        </w:rPr>
        <w:t>：根据《化学品分类和标签规范》 (GB 30000-2013)</w:t>
      </w:r>
      <w:r>
        <w:rPr>
          <w:rFonts w:hint="eastAsia" w:ascii="黑体" w:hAnsi="黑体" w:eastAsia="黑体" w:cs="黑体"/>
          <w:spacing w:val="-2"/>
          <w:sz w:val="24"/>
          <w:szCs w:val="24"/>
        </w:rPr>
        <w:t>，该产品分类如下：皮肤腐蚀/刺激，类别</w:t>
      </w:r>
      <w:r>
        <w:rPr>
          <w:rFonts w:hint="eastAsia" w:ascii="黑体" w:hAnsi="黑体" w:eastAsia="黑体" w:cs="黑体"/>
          <w:spacing w:val="-26"/>
          <w:sz w:val="24"/>
          <w:szCs w:val="24"/>
        </w:rPr>
        <w:t xml:space="preserve"> </w:t>
      </w:r>
      <w:r>
        <w:rPr>
          <w:rFonts w:hint="eastAsia" w:ascii="黑体" w:hAnsi="黑体" w:eastAsia="黑体" w:cs="黑体"/>
          <w:spacing w:val="-2"/>
          <w:sz w:val="24"/>
          <w:szCs w:val="24"/>
        </w:rPr>
        <w:t>1A</w:t>
      </w:r>
    </w:p>
    <w:p w14:paraId="36FD5AB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" w:line="360" w:lineRule="auto"/>
        <w:ind w:firstLine="476" w:firstLineChars="200"/>
        <w:textAlignment w:val="baseline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pacing w:val="-1"/>
          <w:sz w:val="24"/>
          <w:szCs w:val="24"/>
        </w:rPr>
        <w:t>严重眼睛损伤/眼睛刺激性，类别</w:t>
      </w:r>
      <w:r>
        <w:rPr>
          <w:rFonts w:hint="eastAsia" w:ascii="黑体" w:hAnsi="黑体" w:eastAsia="黑体" w:cs="黑体"/>
          <w:spacing w:val="-22"/>
          <w:sz w:val="24"/>
          <w:szCs w:val="24"/>
        </w:rPr>
        <w:t xml:space="preserve"> </w:t>
      </w:r>
      <w:r>
        <w:rPr>
          <w:rFonts w:hint="eastAsia" w:ascii="黑体" w:hAnsi="黑体" w:eastAsia="黑体" w:cs="黑体"/>
          <w:spacing w:val="-1"/>
          <w:sz w:val="24"/>
          <w:szCs w:val="24"/>
        </w:rPr>
        <w:t>1</w:t>
      </w:r>
    </w:p>
    <w:p w14:paraId="70C4FA0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03" w:line="360" w:lineRule="auto"/>
        <w:ind w:firstLine="476" w:firstLineChars="200"/>
        <w:textAlignment w:val="baseline"/>
        <w:rPr>
          <w:rFonts w:hint="eastAsia" w:ascii="黑体" w:hAnsi="黑体" w:eastAsia="黑体" w:cs="黑体"/>
          <w:spacing w:val="-1"/>
          <w:sz w:val="24"/>
          <w:szCs w:val="24"/>
        </w:rPr>
      </w:pPr>
      <w:r>
        <w:rPr>
          <w:rFonts w:hint="eastAsia" w:ascii="黑体" w:hAnsi="黑体" w:eastAsia="黑体" w:cs="黑体"/>
          <w:spacing w:val="-1"/>
          <w:sz w:val="24"/>
          <w:szCs w:val="24"/>
        </w:rPr>
        <w:t>危害水生环境-急性危害，类别</w:t>
      </w:r>
      <w:r>
        <w:rPr>
          <w:rFonts w:hint="eastAsia" w:ascii="黑体" w:hAnsi="黑体" w:eastAsia="黑体" w:cs="黑体"/>
          <w:spacing w:val="-39"/>
          <w:sz w:val="24"/>
          <w:szCs w:val="24"/>
        </w:rPr>
        <w:t xml:space="preserve"> </w:t>
      </w:r>
      <w:r>
        <w:rPr>
          <w:rFonts w:hint="eastAsia" w:ascii="黑体" w:hAnsi="黑体" w:eastAsia="黑体" w:cs="黑体"/>
          <w:spacing w:val="-1"/>
          <w:sz w:val="24"/>
          <w:szCs w:val="24"/>
        </w:rPr>
        <w:t>3</w:t>
      </w:r>
    </w:p>
    <w:p w14:paraId="4F9C653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9" w:line="360" w:lineRule="auto"/>
        <w:ind w:left="37" w:firstLine="470" w:firstLineChars="200"/>
        <w:textAlignment w:val="baseline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spacing w:val="-3"/>
          <w:sz w:val="24"/>
          <w:szCs w:val="24"/>
        </w:rPr>
        <w:t>标签要素</w:t>
      </w:r>
      <w:r>
        <w:rPr>
          <w:rFonts w:hint="eastAsia" w:ascii="黑体" w:hAnsi="黑体" w:eastAsia="黑体" w:cs="黑体"/>
          <w:spacing w:val="-3"/>
          <w:sz w:val="24"/>
          <w:szCs w:val="24"/>
        </w:rPr>
        <w:t>：</w:t>
      </w:r>
    </w:p>
    <w:p w14:paraId="1556087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16" w:line="360" w:lineRule="auto"/>
        <w:ind w:left="1001" w:firstLine="462" w:firstLineChars="200"/>
        <w:textAlignment w:val="baseline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spacing w:val="-5"/>
          <w:sz w:val="24"/>
          <w:szCs w:val="24"/>
        </w:rPr>
        <w:t>象形图</w:t>
      </w:r>
      <w:r>
        <w:rPr>
          <w:rFonts w:hint="eastAsia" w:ascii="黑体" w:hAnsi="黑体" w:eastAsia="黑体" w:cs="黑体"/>
          <w:spacing w:val="-5"/>
          <w:sz w:val="24"/>
          <w:szCs w:val="24"/>
        </w:rPr>
        <w:t>：</w:t>
      </w:r>
    </w:p>
    <w:p w14:paraId="71CC21B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1" w:line="360" w:lineRule="auto"/>
        <w:ind w:firstLine="480" w:firstLineChars="200"/>
        <w:textAlignment w:val="baseline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position w:val="-28"/>
          <w:sz w:val="24"/>
          <w:szCs w:val="24"/>
        </w:rPr>
        <w:drawing>
          <wp:inline distT="0" distB="0" distL="0" distR="0">
            <wp:extent cx="809625" cy="895985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896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0263D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05" w:line="360" w:lineRule="auto"/>
        <w:ind w:left="997" w:firstLine="466" w:firstLineChars="200"/>
        <w:textAlignment w:val="baseline"/>
        <w:rPr>
          <w:rFonts w:hint="eastAsia" w:ascii="黑体" w:hAnsi="黑体" w:eastAsia="黑体" w:cs="黑体"/>
          <w:spacing w:val="-4"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spacing w:val="-4"/>
          <w:sz w:val="24"/>
          <w:szCs w:val="24"/>
        </w:rPr>
        <w:t>警示词</w:t>
      </w:r>
      <w:r>
        <w:rPr>
          <w:rFonts w:hint="eastAsia" w:ascii="黑体" w:hAnsi="黑体" w:eastAsia="黑体" w:cs="黑体"/>
          <w:spacing w:val="-4"/>
          <w:sz w:val="24"/>
          <w:szCs w:val="24"/>
        </w:rPr>
        <w:t>：危险</w:t>
      </w:r>
    </w:p>
    <w:p w14:paraId="3EECC76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9" w:line="360" w:lineRule="auto"/>
        <w:ind w:firstLine="478" w:firstLineChars="200"/>
        <w:textAlignment w:val="baseline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spacing w:val="-1"/>
          <w:sz w:val="24"/>
          <w:szCs w:val="24"/>
        </w:rPr>
        <w:t>危险性说明：</w:t>
      </w:r>
      <w:r>
        <w:rPr>
          <w:rFonts w:hint="eastAsia" w:ascii="黑体" w:hAnsi="黑体" w:eastAsia="黑体" w:cs="黑体"/>
          <w:spacing w:val="-1"/>
          <w:sz w:val="24"/>
          <w:szCs w:val="24"/>
        </w:rPr>
        <w:t>造成严重的皮肤灼伤和眼损伤,对水生生物有害。</w:t>
      </w:r>
    </w:p>
    <w:p w14:paraId="7B391CA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26" w:line="360" w:lineRule="auto"/>
        <w:ind w:firstLine="490" w:firstLineChars="200"/>
        <w:textAlignment w:val="baseline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spacing w:val="2"/>
          <w:sz w:val="24"/>
          <w:szCs w:val="24"/>
        </w:rPr>
        <w:t>预防措施</w:t>
      </w:r>
      <w:r>
        <w:rPr>
          <w:rFonts w:hint="eastAsia" w:ascii="黑体" w:hAnsi="黑体" w:eastAsia="黑体" w:cs="黑体"/>
          <w:spacing w:val="2"/>
          <w:sz w:val="24"/>
          <w:szCs w:val="24"/>
        </w:rPr>
        <w:t>：避免接触眼睛、皮肤,操作后彻底清洗。戴防护手套、穿防护服、戴</w:t>
      </w:r>
      <w:r>
        <w:rPr>
          <w:rFonts w:hint="eastAsia" w:ascii="黑体" w:hAnsi="黑体" w:eastAsia="黑体" w:cs="黑体"/>
          <w:spacing w:val="-1"/>
          <w:sz w:val="24"/>
          <w:szCs w:val="24"/>
        </w:rPr>
        <w:t>防护眼镜、防护面罩。通风不良时戴防毒面具或空气呼吸器。使</w:t>
      </w:r>
      <w:r>
        <w:rPr>
          <w:rFonts w:hint="eastAsia" w:ascii="黑体" w:hAnsi="黑体" w:eastAsia="黑体" w:cs="黑体"/>
          <w:spacing w:val="-2"/>
          <w:sz w:val="24"/>
          <w:szCs w:val="24"/>
        </w:rPr>
        <w:t>用中禁</w:t>
      </w:r>
      <w:r>
        <w:rPr>
          <w:rFonts w:hint="eastAsia" w:ascii="黑体" w:hAnsi="黑体" w:eastAsia="黑体" w:cs="黑体"/>
          <w:spacing w:val="-24"/>
          <w:w w:val="97"/>
          <w:sz w:val="24"/>
          <w:szCs w:val="24"/>
        </w:rPr>
        <w:t>止进食、饮水。禁止排入环境中。</w:t>
      </w:r>
    </w:p>
    <w:p w14:paraId="05BF6B9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" w:line="360" w:lineRule="auto"/>
        <w:ind w:right="50" w:firstLine="546" w:firstLineChars="200"/>
        <w:textAlignment w:val="baseline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spacing w:val="16"/>
          <w:sz w:val="24"/>
          <w:szCs w:val="24"/>
        </w:rPr>
        <w:t>事故响应</w:t>
      </w:r>
      <w:r>
        <w:rPr>
          <w:rFonts w:hint="eastAsia" w:ascii="黑体" w:hAnsi="黑体" w:eastAsia="黑体" w:cs="黑体"/>
          <w:spacing w:val="16"/>
          <w:sz w:val="24"/>
          <w:szCs w:val="24"/>
        </w:rPr>
        <w:t>：如吸入:将患者转移到空气新鲜处,休息,</w:t>
      </w:r>
      <w:r>
        <w:rPr>
          <w:rFonts w:hint="eastAsia" w:ascii="黑体" w:hAnsi="黑体" w:eastAsia="黑体" w:cs="黑体"/>
          <w:spacing w:val="-17"/>
          <w:sz w:val="24"/>
          <w:szCs w:val="24"/>
        </w:rPr>
        <w:t xml:space="preserve"> </w:t>
      </w:r>
      <w:r>
        <w:rPr>
          <w:rFonts w:hint="eastAsia" w:ascii="黑体" w:hAnsi="黑体" w:eastAsia="黑体" w:cs="黑体"/>
          <w:spacing w:val="16"/>
          <w:sz w:val="24"/>
          <w:szCs w:val="24"/>
        </w:rPr>
        <w:t>保持利于呼吸的体位,</w:t>
      </w:r>
      <w:r>
        <w:rPr>
          <w:rFonts w:hint="eastAsia" w:ascii="黑体" w:hAnsi="黑体" w:eastAsia="黑体" w:cs="黑体"/>
          <w:spacing w:val="-30"/>
          <w:sz w:val="24"/>
          <w:szCs w:val="24"/>
        </w:rPr>
        <w:t xml:space="preserve"> </w:t>
      </w:r>
      <w:r>
        <w:rPr>
          <w:rFonts w:hint="eastAsia" w:ascii="黑体" w:hAnsi="黑体" w:eastAsia="黑体" w:cs="黑体"/>
          <w:spacing w:val="16"/>
          <w:sz w:val="24"/>
          <w:szCs w:val="24"/>
        </w:rPr>
        <w:t>立</w:t>
      </w:r>
      <w:r>
        <w:rPr>
          <w:rFonts w:hint="eastAsia" w:ascii="黑体" w:hAnsi="黑体" w:eastAsia="黑体" w:cs="黑体"/>
          <w:spacing w:val="17"/>
          <w:sz w:val="24"/>
          <w:szCs w:val="24"/>
        </w:rPr>
        <w:t>即呼叫中毒控制中心或就医。皮肤</w:t>
      </w:r>
      <w:r>
        <w:rPr>
          <w:rFonts w:hint="eastAsia" w:ascii="黑体" w:hAnsi="黑体" w:eastAsia="黑体" w:cs="黑体"/>
          <w:spacing w:val="61"/>
          <w:sz w:val="24"/>
          <w:szCs w:val="24"/>
        </w:rPr>
        <w:t xml:space="preserve"> </w:t>
      </w:r>
      <w:r>
        <w:rPr>
          <w:rFonts w:hint="eastAsia" w:ascii="黑体" w:hAnsi="黑体" w:eastAsia="黑体" w:cs="黑体"/>
          <w:spacing w:val="17"/>
          <w:sz w:val="24"/>
          <w:szCs w:val="24"/>
        </w:rPr>
        <w:t>(或头发)接触:立即脱掉所有被污染的衣服,</w:t>
      </w:r>
      <w:r>
        <w:rPr>
          <w:rFonts w:hint="eastAsia" w:ascii="黑体" w:hAnsi="黑体" w:eastAsia="黑体" w:cs="黑体"/>
          <w:spacing w:val="-25"/>
          <w:sz w:val="24"/>
          <w:szCs w:val="24"/>
        </w:rPr>
        <w:t xml:space="preserve"> </w:t>
      </w:r>
      <w:r>
        <w:rPr>
          <w:rFonts w:hint="eastAsia" w:ascii="黑体" w:hAnsi="黑体" w:eastAsia="黑体" w:cs="黑体"/>
          <w:spacing w:val="17"/>
          <w:sz w:val="24"/>
          <w:szCs w:val="24"/>
        </w:rPr>
        <w:t>用水冲洗皮肤,</w:t>
      </w:r>
      <w:r>
        <w:rPr>
          <w:rFonts w:hint="eastAsia" w:ascii="黑体" w:hAnsi="黑体" w:eastAsia="黑体" w:cs="黑体"/>
          <w:spacing w:val="-31"/>
          <w:sz w:val="24"/>
          <w:szCs w:val="24"/>
        </w:rPr>
        <w:t xml:space="preserve"> </w:t>
      </w:r>
      <w:r>
        <w:rPr>
          <w:rFonts w:hint="eastAsia" w:ascii="黑体" w:hAnsi="黑体" w:eastAsia="黑体" w:cs="黑体"/>
          <w:spacing w:val="17"/>
          <w:sz w:val="24"/>
          <w:szCs w:val="24"/>
        </w:rPr>
        <w:t>淋浴。污染的衣服须洗净后方可重</w:t>
      </w:r>
      <w:r>
        <w:rPr>
          <w:rFonts w:hint="eastAsia" w:ascii="黑体" w:hAnsi="黑体" w:eastAsia="黑体" w:cs="黑体"/>
          <w:spacing w:val="21"/>
          <w:sz w:val="24"/>
          <w:szCs w:val="24"/>
        </w:rPr>
        <w:t>新使用。眼睛接触:用水细心地冲洗数分钟。如戴隐形眼镜并可</w:t>
      </w:r>
      <w:r>
        <w:rPr>
          <w:rFonts w:hint="eastAsia" w:ascii="黑体" w:hAnsi="黑体" w:eastAsia="黑体" w:cs="黑体"/>
          <w:spacing w:val="14"/>
          <w:sz w:val="24"/>
          <w:szCs w:val="24"/>
        </w:rPr>
        <w:t>方便地取出,则取出隐形眼镜继续冲洗。食入:漱口。不要催</w:t>
      </w:r>
      <w:r>
        <w:rPr>
          <w:rFonts w:hint="eastAsia" w:ascii="黑体" w:hAnsi="黑体" w:eastAsia="黑体" w:cs="黑体"/>
          <w:spacing w:val="13"/>
          <w:sz w:val="24"/>
          <w:szCs w:val="24"/>
        </w:rPr>
        <w:t>吐。</w:t>
      </w:r>
    </w:p>
    <w:p w14:paraId="5408CB3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" w:line="360" w:lineRule="auto"/>
        <w:ind w:right="36" w:firstLine="486" w:firstLineChars="200"/>
        <w:textAlignment w:val="baseline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spacing w:val="1"/>
          <w:sz w:val="24"/>
          <w:szCs w:val="24"/>
        </w:rPr>
        <w:t>安全储存</w:t>
      </w:r>
      <w:r>
        <w:rPr>
          <w:rFonts w:hint="eastAsia" w:ascii="黑体" w:hAnsi="黑体" w:eastAsia="黑体" w:cs="黑体"/>
          <w:spacing w:val="1"/>
          <w:sz w:val="24"/>
          <w:szCs w:val="24"/>
        </w:rPr>
        <w:t>：应密封并在阴凉、通风良好处储存。应与易（可）燃物及酸类等分开</w:t>
      </w:r>
      <w:r>
        <w:rPr>
          <w:rFonts w:hint="eastAsia" w:ascii="黑体" w:hAnsi="黑体" w:eastAsia="黑体" w:cs="黑体"/>
          <w:spacing w:val="-8"/>
          <w:sz w:val="24"/>
          <w:szCs w:val="24"/>
        </w:rPr>
        <w:t>存放。</w:t>
      </w:r>
    </w:p>
    <w:p w14:paraId="561A451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" w:line="360" w:lineRule="auto"/>
        <w:ind w:right="34" w:firstLine="494" w:firstLineChars="200"/>
        <w:textAlignment w:val="baseline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spacing w:val="3"/>
          <w:sz w:val="24"/>
          <w:szCs w:val="24"/>
        </w:rPr>
        <w:t>废弃处置</w:t>
      </w:r>
      <w:r>
        <w:rPr>
          <w:rFonts w:hint="eastAsia" w:ascii="黑体" w:hAnsi="黑体" w:eastAsia="黑体" w:cs="黑体"/>
          <w:spacing w:val="3"/>
          <w:sz w:val="24"/>
          <w:szCs w:val="24"/>
        </w:rPr>
        <w:t>：本品及内装物、容器依据国家和地方法规处置。该物质及其包装作为</w:t>
      </w:r>
      <w:r>
        <w:rPr>
          <w:rFonts w:hint="eastAsia" w:ascii="黑体" w:hAnsi="黑体" w:eastAsia="黑体" w:cs="黑体"/>
          <w:spacing w:val="4"/>
          <w:sz w:val="24"/>
          <w:szCs w:val="24"/>
        </w:rPr>
        <w:t>危险废物处理。禁止使之进入任何地面排水沟</w:t>
      </w:r>
      <w:r>
        <w:rPr>
          <w:rFonts w:hint="eastAsia" w:ascii="黑体" w:hAnsi="黑体" w:eastAsia="黑体" w:cs="黑体"/>
          <w:spacing w:val="3"/>
          <w:sz w:val="24"/>
          <w:szCs w:val="24"/>
        </w:rPr>
        <w:t>或进入任何水体。用大量水冲洗，冲洗水中和调节至中性，再放入废水系统。包装容器归还</w:t>
      </w:r>
      <w:r>
        <w:rPr>
          <w:rFonts w:hint="eastAsia" w:ascii="黑体" w:hAnsi="黑体" w:eastAsia="黑体" w:cs="黑体"/>
          <w:spacing w:val="-2"/>
          <w:sz w:val="24"/>
          <w:szCs w:val="24"/>
        </w:rPr>
        <w:t>厂商或清洗干净后存放在规定场所。</w:t>
      </w:r>
    </w:p>
    <w:p w14:paraId="563F884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37" w:firstLine="474" w:firstLineChars="200"/>
        <w:textAlignment w:val="baseline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spacing w:val="-2"/>
          <w:sz w:val="24"/>
          <w:szCs w:val="24"/>
        </w:rPr>
        <w:t>物理和化学危险</w:t>
      </w:r>
      <w:r>
        <w:rPr>
          <w:rFonts w:hint="eastAsia" w:ascii="黑体" w:hAnsi="黑体" w:eastAsia="黑体" w:cs="黑体"/>
          <w:spacing w:val="-2"/>
          <w:sz w:val="24"/>
          <w:szCs w:val="24"/>
        </w:rPr>
        <w:t>：不燃,无特殊燃爆特性。</w:t>
      </w:r>
    </w:p>
    <w:p w14:paraId="4FAC0A9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25" w:line="360" w:lineRule="auto"/>
        <w:ind w:left="37" w:firstLine="494" w:firstLineChars="200"/>
        <w:textAlignment w:val="baseline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spacing w:val="3"/>
          <w:sz w:val="24"/>
          <w:szCs w:val="24"/>
        </w:rPr>
        <w:t>健康危害</w:t>
      </w:r>
      <w:r>
        <w:rPr>
          <w:rFonts w:hint="eastAsia" w:ascii="黑体" w:hAnsi="黑体" w:eastAsia="黑体" w:cs="黑体"/>
          <w:spacing w:val="3"/>
          <w:sz w:val="24"/>
          <w:szCs w:val="24"/>
        </w:rPr>
        <w:t>：本品有强烈刺激和腐蚀性。可引起严重的皮肤灼伤</w:t>
      </w:r>
      <w:r>
        <w:rPr>
          <w:rFonts w:hint="eastAsia" w:ascii="黑体" w:hAnsi="黑体" w:eastAsia="黑体" w:cs="黑体"/>
          <w:spacing w:val="2"/>
          <w:sz w:val="24"/>
          <w:szCs w:val="24"/>
        </w:rPr>
        <w:t>和眼睛损伤。吸入可能引起</w:t>
      </w:r>
    </w:p>
    <w:p w14:paraId="1E3E10B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18" w:line="360" w:lineRule="auto"/>
        <w:ind w:left="37" w:right="129" w:firstLine="476" w:firstLineChars="200"/>
        <w:textAlignment w:val="baseline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pacing w:val="-1"/>
          <w:sz w:val="24"/>
          <w:szCs w:val="24"/>
        </w:rPr>
        <w:t>过敏或哮喘症状或呼吸困难；误服可造成消化道灼伤,黏膜糜烂、出血和</w:t>
      </w:r>
      <w:r>
        <w:rPr>
          <w:rFonts w:hint="eastAsia" w:ascii="黑体" w:hAnsi="黑体" w:eastAsia="黑体" w:cs="黑体"/>
          <w:spacing w:val="-2"/>
          <w:sz w:val="24"/>
          <w:szCs w:val="24"/>
        </w:rPr>
        <w:t>休克。</w:t>
      </w:r>
      <w:r>
        <w:rPr>
          <w:rFonts w:hint="eastAsia" w:ascii="黑体" w:hAnsi="黑体" w:eastAsia="黑体" w:cs="黑体"/>
          <w:b/>
          <w:bCs/>
          <w:spacing w:val="-1"/>
          <w:sz w:val="24"/>
          <w:szCs w:val="24"/>
        </w:rPr>
        <w:t>环境危害</w:t>
      </w:r>
      <w:r>
        <w:rPr>
          <w:rFonts w:hint="eastAsia" w:ascii="黑体" w:hAnsi="黑体" w:eastAsia="黑体" w:cs="黑体"/>
          <w:spacing w:val="-1"/>
          <w:sz w:val="24"/>
          <w:szCs w:val="24"/>
        </w:rPr>
        <w:t>：对环水生生物有害。</w:t>
      </w:r>
    </w:p>
    <w:p w14:paraId="71E10AE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49" w:line="360" w:lineRule="auto"/>
        <w:jc w:val="center"/>
        <w:textAlignment w:val="baseline"/>
        <w:outlineLvl w:val="0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3234055</wp:posOffset>
                </wp:positionH>
                <wp:positionV relativeFrom="paragraph">
                  <wp:posOffset>540385</wp:posOffset>
                </wp:positionV>
                <wp:extent cx="6350" cy="6350"/>
                <wp:effectExtent l="0" t="0" r="0" b="0"/>
                <wp:wrapNone/>
                <wp:docPr id="11" name="任意多边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10" h="10">
                              <a:moveTo>
                                <a:pt x="0" y="9"/>
                              </a:moveTo>
                              <a:lnTo>
                                <a:pt x="9" y="9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close/>
                            </a:path>
                            <a:path w="10" h="10">
                              <a:moveTo>
                                <a:pt x="0" y="9"/>
                              </a:moveTo>
                              <a:lnTo>
                                <a:pt x="9" y="9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254.65pt;margin-top:42.55pt;height:0.5pt;width:0.5pt;z-index:251663360;mso-width-relative:page;mso-height-relative:page;" fillcolor="#000000" filled="t" stroked="f" coordsize="10,10" o:gfxdata="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KP+H2bWAAAACQEAAA8AAAAAAAAAAQAg&#10;AAAAIgAAAGRycy9kb3ducmV2LnhtbFBLAQIUABQAAAAIAIdO4kAMSUBUEAIAAFEFAAAOAAAAAAAA&#10;AAEAIAAAACUBAABkcnMvZTJvRG9jLnhtbFBLBQYAAAAABgAGAFkBAACnBQAAAAA=&#10;" path="m0,9l9,9,9,0,0,0,0,9xem0,9l9,9,9,0,0,0,0,9xe">
                <v:path/>
                <v:fill on="t" focussize="0,0"/>
                <v:stroke on="f"/>
                <v:imagedata o:title=""/>
                <o:lock v:ext="edit"/>
              </v:shape>
            </w:pict>
          </mc:Fallback>
        </mc:AlternateContent>
      </w:r>
      <w:r>
        <w:rPr>
          <w:rFonts w:hint="eastAsia" w:ascii="黑体" w:hAnsi="黑体" w:eastAsia="黑体" w:cs="黑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3095625</wp:posOffset>
                </wp:positionH>
                <wp:positionV relativeFrom="paragraph">
                  <wp:posOffset>540385</wp:posOffset>
                </wp:positionV>
                <wp:extent cx="6350" cy="6350"/>
                <wp:effectExtent l="0" t="0" r="0" b="0"/>
                <wp:wrapNone/>
                <wp:docPr id="12" name="任意多边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10" h="10">
                              <a:moveTo>
                                <a:pt x="0" y="9"/>
                              </a:moveTo>
                              <a:lnTo>
                                <a:pt x="9" y="9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close/>
                            </a:path>
                            <a:path w="10" h="10">
                              <a:moveTo>
                                <a:pt x="0" y="9"/>
                              </a:moveTo>
                              <a:lnTo>
                                <a:pt x="9" y="9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243.75pt;margin-top:42.55pt;height:0.5pt;width:0.5pt;z-index:251660288;mso-width-relative:page;mso-height-relative:page;" fillcolor="#000000" filled="t" stroked="f" coordsize="10,10" o:gfxdata="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LxSBZjWAAAACQEAAA8AAAAAAAAAAQAg&#10;AAAAIgAAAGRycy9kb3ducmV2LnhtbFBLAQIUABQAAAAIAIdO4kALpjS7EAIAAFEFAAAOAAAAAAAA&#10;AAEAIAAAACUBAABkcnMvZTJvRG9jLnhtbFBLBQYAAAAABgAGAFkBAACnBQAAAAA=&#10;" path="m0,9l9,9,9,0,0,0,0,9xem0,9l9,9,9,0,0,0,0,9xe">
                <v:path/>
                <v:fill on="t" focussize="0,0"/>
                <v:stroke on="f"/>
                <v:imagedata o:title=""/>
                <o:lock v:ext="edit"/>
              </v:shape>
            </w:pict>
          </mc:Fallback>
        </mc:AlternateContent>
      </w:r>
      <w:r>
        <w:rPr>
          <w:rFonts w:hint="eastAsia" w:ascii="黑体" w:hAnsi="黑体" w:eastAsia="黑体" w:cs="黑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953770</wp:posOffset>
                </wp:positionH>
                <wp:positionV relativeFrom="paragraph">
                  <wp:posOffset>546735</wp:posOffset>
                </wp:positionV>
                <wp:extent cx="6350" cy="6350"/>
                <wp:effectExtent l="0" t="0" r="0" b="0"/>
                <wp:wrapNone/>
                <wp:docPr id="13" name="任意多边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10" h="10">
                              <a:moveTo>
                                <a:pt x="0" y="9"/>
                              </a:moveTo>
                              <a:lnTo>
                                <a:pt x="9" y="9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close/>
                            </a:path>
                            <a:path w="10" h="10">
                              <a:moveTo>
                                <a:pt x="0" y="9"/>
                              </a:moveTo>
                              <a:lnTo>
                                <a:pt x="9" y="9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75.1pt;margin-top:43.05pt;height:0.5pt;width:0.5pt;z-index:251661312;mso-width-relative:page;mso-height-relative:page;" fillcolor="#000000" filled="t" stroked="f" coordsize="10,10" o:gfxdata="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6mueINUAAAAJAQAADwAAAAAAAAABACAA&#10;AAAiAAAAZHJzL2Rvd25yZXYueG1sUEsBAhQAFAAAAAgAh07iQMn+N1cQAgAAUQUAAA4AAAAAAAAA&#10;AQAgAAAAJAEAAGRycy9lMm9Eb2MueG1sUEsFBgAAAAAGAAYAWQEAAKYFAAAAAA==&#10;" path="m0,9l9,9,9,0,0,0,0,9xem0,9l9,9,9,0,0,0,0,9xe">
                <v:path/>
                <v:fill on="t" focussize="0,0"/>
                <v:stroke on="f"/>
                <v:imagedata o:title=""/>
                <o:lock v:ext="edit"/>
              </v:shape>
            </w:pict>
          </mc:Fallback>
        </mc:AlternateContent>
      </w:r>
      <w:r>
        <w:rPr>
          <w:rFonts w:hint="eastAsia" w:ascii="黑体" w:hAnsi="黑体" w:eastAsia="黑体" w:cs="黑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875665</wp:posOffset>
                </wp:positionH>
                <wp:positionV relativeFrom="paragraph">
                  <wp:posOffset>546735</wp:posOffset>
                </wp:positionV>
                <wp:extent cx="6350" cy="6350"/>
                <wp:effectExtent l="0" t="0" r="0" b="0"/>
                <wp:wrapNone/>
                <wp:docPr id="14" name="任意多边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10" h="10">
                              <a:moveTo>
                                <a:pt x="0" y="9"/>
                              </a:moveTo>
                              <a:lnTo>
                                <a:pt x="9" y="9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close/>
                            </a:path>
                            <a:path w="10" h="10">
                              <a:moveTo>
                                <a:pt x="0" y="9"/>
                              </a:moveTo>
                              <a:lnTo>
                                <a:pt x="9" y="9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68.95pt;margin-top:43.05pt;height:0.5pt;width:0.5pt;z-index:251662336;mso-width-relative:page;mso-height-relative:page;" fillcolor="#000000" filled="t" stroked="f" coordsize="10,10" o:gfxdata="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HVSfz/WAAAACQEAAA8AAAAAAAAAAQAg&#10;AAAAIgAAAGRycy9kb3ducmV2LnhtbFBLAQIUABQAAAAIAIdO4kBEfqy+EAIAAFEFAAAOAAAAAAAA&#10;AAEAIAAAACUBAABkcnMvZTJvRG9jLnhtbFBLBQYAAAAABgAGAFkBAACnBQAAAAA=&#10;" path="m0,9l9,9,9,0,0,0,0,9xem0,9l9,9,9,0,0,0,0,9xe">
                <v:path/>
                <v:fill on="t" focussize="0,0"/>
                <v:stroke on="f"/>
                <v:imagedata o:title=""/>
                <o:lock v:ext="edit"/>
              </v:shape>
            </w:pict>
          </mc:Fallback>
        </mc:AlternateContent>
      </w:r>
      <w:r>
        <w:rPr>
          <w:rFonts w:hint="eastAsia" w:ascii="黑体" w:hAnsi="黑体" w:eastAsia="黑体" w:cs="黑体"/>
          <w:b/>
          <w:bCs/>
          <w:spacing w:val="-2"/>
          <w:sz w:val="24"/>
          <w:szCs w:val="24"/>
        </w:rPr>
        <w:t>第三部分</w:t>
      </w:r>
      <w:r>
        <w:rPr>
          <w:rFonts w:hint="eastAsia" w:ascii="黑体" w:hAnsi="黑体" w:eastAsia="黑体" w:cs="黑体"/>
          <w:spacing w:val="-2"/>
          <w:sz w:val="24"/>
          <w:szCs w:val="24"/>
        </w:rPr>
        <w:t xml:space="preserve">     </w:t>
      </w:r>
      <w:r>
        <w:rPr>
          <w:rFonts w:hint="eastAsia" w:ascii="黑体" w:hAnsi="黑体" w:eastAsia="黑体" w:cs="黑体"/>
          <w:b/>
          <w:bCs/>
          <w:spacing w:val="-2"/>
          <w:sz w:val="24"/>
          <w:szCs w:val="24"/>
        </w:rPr>
        <w:t>成分／组成信息</w:t>
      </w:r>
    </w:p>
    <w:p w14:paraId="49A0F1E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80" w:firstLineChars="200"/>
        <w:textAlignment w:val="baseline"/>
        <w:rPr>
          <w:rFonts w:hint="eastAsia" w:ascii="黑体" w:hAnsi="黑体" w:eastAsia="黑体" w:cs="黑体"/>
          <w:sz w:val="24"/>
          <w:szCs w:val="24"/>
        </w:rPr>
      </w:pPr>
    </w:p>
    <w:tbl>
      <w:tblPr>
        <w:tblStyle w:val="6"/>
        <w:tblW w:w="8792" w:type="dxa"/>
        <w:tblInd w:w="28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54"/>
        <w:gridCol w:w="126"/>
        <w:gridCol w:w="3370"/>
        <w:gridCol w:w="221"/>
        <w:gridCol w:w="3721"/>
      </w:tblGrid>
      <w:tr w14:paraId="22B25FF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5" w:hRule="atLeast"/>
        </w:trPr>
        <w:tc>
          <w:tcPr>
            <w:tcW w:w="1354" w:type="dxa"/>
            <w:tcBorders>
              <w:right w:val="single" w:color="000000" w:sz="2" w:space="0"/>
            </w:tcBorders>
            <w:vAlign w:val="top"/>
          </w:tcPr>
          <w:p w14:paraId="58D44F0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" w:line="360" w:lineRule="auto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2"/>
                <w:sz w:val="24"/>
                <w:szCs w:val="24"/>
              </w:rPr>
              <w:t>物质</w:t>
            </w:r>
          </w:p>
        </w:tc>
        <w:tc>
          <w:tcPr>
            <w:tcW w:w="1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top"/>
          </w:tcPr>
          <w:p w14:paraId="1872ECE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" w:line="360" w:lineRule="auto"/>
              <w:ind w:firstLine="432" w:firstLineChars="200"/>
              <w:jc w:val="right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w w:val="90"/>
                <w:sz w:val="24"/>
                <w:szCs w:val="24"/>
              </w:rPr>
              <w:t>√</w:t>
            </w:r>
            <w:r>
              <w:rPr>
                <w:rFonts w:hint="eastAsia" w:ascii="黑体" w:hAnsi="黑体" w:eastAsia="黑体" w:cs="黑体"/>
                <w:position w:val="-6"/>
                <w:sz w:val="24"/>
                <w:szCs w:val="24"/>
              </w:rPr>
              <w:drawing>
                <wp:inline distT="0" distB="0" distL="0" distR="0">
                  <wp:extent cx="3810" cy="150495"/>
                  <wp:effectExtent l="0" t="0" r="15240" b="1905"/>
                  <wp:docPr id="4" name="IM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 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84" cy="1507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70" w:type="dxa"/>
            <w:tcBorders>
              <w:right w:val="single" w:color="000000" w:sz="2" w:space="0"/>
            </w:tcBorders>
            <w:vAlign w:val="top"/>
          </w:tcPr>
          <w:p w14:paraId="2C412DD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" w:line="360" w:lineRule="auto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4"/>
                <w:sz w:val="24"/>
                <w:szCs w:val="24"/>
              </w:rPr>
              <w:t>混合物</w:t>
            </w:r>
          </w:p>
        </w:tc>
        <w:tc>
          <w:tcPr>
            <w:tcW w:w="2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top"/>
          </w:tcPr>
          <w:p w14:paraId="78536AB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firstLine="480" w:firstLineChars="200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page">
                        <wp:posOffset>136525</wp:posOffset>
                      </wp:positionH>
                      <wp:positionV relativeFrom="page">
                        <wp:posOffset>12065</wp:posOffset>
                      </wp:positionV>
                      <wp:extent cx="6350" cy="146685"/>
                      <wp:effectExtent l="0" t="0" r="12700" b="5715"/>
                      <wp:wrapNone/>
                      <wp:docPr id="5" name="任意多边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0" cy="1466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pathLst>
                                  <a:path w="10" h="231">
                                    <a:moveTo>
                                      <a:pt x="0" y="230"/>
                                    </a:moveTo>
                                    <a:lnTo>
                                      <a:pt x="9" y="230"/>
                                    </a:lnTo>
                                    <a:lnTo>
                                      <a:pt x="9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23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00" style="position:absolute;left:0pt;margin-left:10.75pt;margin-top:0.95pt;height:11.55pt;width:0.5pt;mso-position-horizontal-relative:page;mso-position-vertical-relative:page;z-index:251659264;mso-width-relative:page;mso-height-relative:page;" fillcolor="#000000" filled="t" stroked="f" coordsize="10,231" o:gfxdata="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BwMhsG0QAAAAYBAAAPAAAAAAAAAAEA&#10;IAAAACIAAABkcnMvZG93bnJldi54bWxQSwECFAAUAAAACACHTuJAl2DKlxYCAAB3BAAADgAAAAAA&#10;AAABACAAAAAgAQAAZHJzL2Uyb0RvYy54bWxQSwUGAAAAAAYABgBZAQAAqAUAAAAA&#10;" path="m0,230l9,230,9,0,0,0,0,230xe">
                      <v:fill on="t" focussize="0,0"/>
                      <v:stroke on="f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3721" w:type="dxa"/>
            <w:vAlign w:val="top"/>
          </w:tcPr>
          <w:p w14:paraId="31FC515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firstLine="480" w:firstLineChars="200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  <w:tr w14:paraId="6EB1CE1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354" w:type="dxa"/>
            <w:vAlign w:val="top"/>
          </w:tcPr>
          <w:p w14:paraId="23B3368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34" w:line="360" w:lineRule="auto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spacing w:val="-3"/>
                <w:sz w:val="24"/>
                <w:szCs w:val="24"/>
              </w:rPr>
              <w:t>主要危险组分</w:t>
            </w:r>
          </w:p>
        </w:tc>
        <w:tc>
          <w:tcPr>
            <w:tcW w:w="126" w:type="dxa"/>
            <w:tcBorders>
              <w:top w:val="single" w:color="000000" w:sz="2" w:space="0"/>
            </w:tcBorders>
            <w:vAlign w:val="top"/>
          </w:tcPr>
          <w:p w14:paraId="535C9AD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firstLine="480" w:firstLineChars="200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3370" w:type="dxa"/>
            <w:vAlign w:val="top"/>
          </w:tcPr>
          <w:p w14:paraId="06CB5E3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34" w:line="360" w:lineRule="auto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2"/>
                <w:sz w:val="24"/>
                <w:szCs w:val="24"/>
              </w:rPr>
              <w:t>浓度</w:t>
            </w:r>
          </w:p>
        </w:tc>
        <w:tc>
          <w:tcPr>
            <w:tcW w:w="221" w:type="dxa"/>
            <w:tcBorders>
              <w:top w:val="single" w:color="000000" w:sz="2" w:space="0"/>
            </w:tcBorders>
            <w:vAlign w:val="top"/>
          </w:tcPr>
          <w:p w14:paraId="5B4B8D4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firstLine="480" w:firstLineChars="200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3721" w:type="dxa"/>
            <w:vAlign w:val="top"/>
          </w:tcPr>
          <w:p w14:paraId="7401572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72" w:line="360" w:lineRule="auto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1"/>
                <w:sz w:val="24"/>
                <w:szCs w:val="24"/>
              </w:rPr>
              <w:t>CAS No.</w:t>
            </w:r>
          </w:p>
        </w:tc>
      </w:tr>
      <w:tr w14:paraId="40BE059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54" w:type="dxa"/>
            <w:tcBorders>
              <w:bottom w:val="single" w:color="000000" w:sz="4" w:space="0"/>
            </w:tcBorders>
            <w:vAlign w:val="top"/>
          </w:tcPr>
          <w:p w14:paraId="3B16416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7" w:line="360" w:lineRule="auto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2"/>
                <w:sz w:val="24"/>
                <w:szCs w:val="24"/>
              </w:rPr>
              <w:t>氢氧化钠</w:t>
            </w:r>
          </w:p>
        </w:tc>
        <w:tc>
          <w:tcPr>
            <w:tcW w:w="126" w:type="dxa"/>
            <w:vAlign w:val="top"/>
          </w:tcPr>
          <w:p w14:paraId="321FE3D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firstLine="480" w:firstLineChars="200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3370" w:type="dxa"/>
            <w:vAlign w:val="top"/>
          </w:tcPr>
          <w:p w14:paraId="7803E2C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7" w:line="360" w:lineRule="auto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5"/>
                <w:sz w:val="24"/>
                <w:szCs w:val="24"/>
              </w:rPr>
              <w:t>≥98.5%</w:t>
            </w:r>
          </w:p>
        </w:tc>
        <w:tc>
          <w:tcPr>
            <w:tcW w:w="221" w:type="dxa"/>
            <w:vAlign w:val="top"/>
          </w:tcPr>
          <w:p w14:paraId="6E94A52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firstLine="480" w:firstLineChars="200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3721" w:type="dxa"/>
            <w:tcBorders>
              <w:bottom w:val="single" w:color="000000" w:sz="2" w:space="0"/>
            </w:tcBorders>
            <w:vAlign w:val="top"/>
          </w:tcPr>
          <w:p w14:paraId="76C3166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73" w:line="360" w:lineRule="auto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3"/>
                <w:position w:val="-2"/>
                <w:sz w:val="24"/>
                <w:szCs w:val="24"/>
              </w:rPr>
              <w:t>1310—73—2</w:t>
            </w:r>
          </w:p>
        </w:tc>
      </w:tr>
    </w:tbl>
    <w:p w14:paraId="26E6D2B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84" w:line="360" w:lineRule="auto"/>
        <w:ind w:left="2740" w:firstLine="474" w:firstLineChars="200"/>
        <w:textAlignment w:val="baseline"/>
        <w:outlineLvl w:val="0"/>
        <w:rPr>
          <w:rFonts w:hint="eastAsia" w:ascii="黑体" w:hAnsi="黑体" w:eastAsia="黑体" w:cs="黑体"/>
          <w:b/>
          <w:bCs/>
          <w:spacing w:val="-2"/>
          <w:sz w:val="24"/>
          <w:szCs w:val="24"/>
        </w:rPr>
      </w:pPr>
    </w:p>
    <w:p w14:paraId="7B67987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84" w:line="360" w:lineRule="auto"/>
        <w:jc w:val="center"/>
        <w:textAlignment w:val="baseline"/>
        <w:outlineLvl w:val="0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spacing w:val="-2"/>
          <w:sz w:val="24"/>
          <w:szCs w:val="24"/>
        </w:rPr>
        <w:t>第四部分</w:t>
      </w:r>
      <w:r>
        <w:rPr>
          <w:rFonts w:hint="eastAsia" w:ascii="黑体" w:hAnsi="黑体" w:eastAsia="黑体" w:cs="黑体"/>
          <w:spacing w:val="-2"/>
          <w:sz w:val="24"/>
          <w:szCs w:val="24"/>
        </w:rPr>
        <w:t xml:space="preserve">     </w:t>
      </w:r>
      <w:r>
        <w:rPr>
          <w:rFonts w:hint="eastAsia" w:ascii="黑体" w:hAnsi="黑体" w:eastAsia="黑体" w:cs="黑体"/>
          <w:b/>
          <w:bCs/>
          <w:spacing w:val="-2"/>
          <w:sz w:val="24"/>
          <w:szCs w:val="24"/>
        </w:rPr>
        <w:t>急救措施</w:t>
      </w:r>
    </w:p>
    <w:p w14:paraId="0983323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47" w:line="360" w:lineRule="auto"/>
        <w:ind w:left="40" w:firstLine="478" w:firstLineChars="200"/>
        <w:textAlignment w:val="baseline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spacing w:val="-1"/>
          <w:sz w:val="24"/>
          <w:szCs w:val="24"/>
        </w:rPr>
        <w:t>皮肤接触</w:t>
      </w:r>
      <w:r>
        <w:rPr>
          <w:rFonts w:hint="eastAsia" w:ascii="黑体" w:hAnsi="黑体" w:eastAsia="黑体" w:cs="黑体"/>
          <w:spacing w:val="-1"/>
          <w:sz w:val="24"/>
          <w:szCs w:val="24"/>
        </w:rPr>
        <w:t>：立即脱去污染的衣着，用大量流动清水冲洗至少</w:t>
      </w:r>
      <w:r>
        <w:rPr>
          <w:rFonts w:hint="eastAsia" w:ascii="黑体" w:hAnsi="黑体" w:eastAsia="黑体" w:cs="黑体"/>
          <w:spacing w:val="-28"/>
          <w:sz w:val="24"/>
          <w:szCs w:val="24"/>
        </w:rPr>
        <w:t xml:space="preserve"> </w:t>
      </w:r>
      <w:r>
        <w:rPr>
          <w:rFonts w:hint="eastAsia" w:ascii="黑体" w:hAnsi="黑体" w:eastAsia="黑体" w:cs="黑体"/>
          <w:spacing w:val="-1"/>
          <w:sz w:val="24"/>
          <w:szCs w:val="24"/>
        </w:rPr>
        <w:t>15 分钟，</w:t>
      </w:r>
      <w:r>
        <w:rPr>
          <w:rFonts w:hint="eastAsia" w:ascii="黑体" w:hAnsi="黑体" w:eastAsia="黑体" w:cs="黑体"/>
          <w:spacing w:val="-2"/>
          <w:sz w:val="24"/>
          <w:szCs w:val="24"/>
        </w:rPr>
        <w:t>就医。</w:t>
      </w:r>
    </w:p>
    <w:p w14:paraId="7B24205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01" w:line="360" w:lineRule="auto"/>
        <w:ind w:left="50" w:firstLine="478" w:firstLineChars="200"/>
        <w:textAlignment w:val="baseline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spacing w:val="-1"/>
          <w:sz w:val="24"/>
          <w:szCs w:val="24"/>
        </w:rPr>
        <w:t>眼睛接触</w:t>
      </w:r>
      <w:r>
        <w:rPr>
          <w:rFonts w:hint="eastAsia" w:ascii="黑体" w:hAnsi="黑体" w:eastAsia="黑体" w:cs="黑体"/>
          <w:spacing w:val="-1"/>
          <w:sz w:val="24"/>
          <w:szCs w:val="24"/>
        </w:rPr>
        <w:t>：立即分开眼睑,用流动清水或生理盐水彻底冲洗 5~10min  。就医</w:t>
      </w:r>
    </w:p>
    <w:p w14:paraId="7D1EE40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14" w:line="360" w:lineRule="auto"/>
        <w:ind w:left="668" w:right="55" w:firstLine="514" w:firstLineChars="200"/>
        <w:textAlignment w:val="baseline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spacing w:val="8"/>
          <w:sz w:val="24"/>
          <w:szCs w:val="24"/>
        </w:rPr>
        <w:t>吸入</w:t>
      </w:r>
      <w:r>
        <w:rPr>
          <w:rFonts w:hint="eastAsia" w:ascii="黑体" w:hAnsi="黑体" w:eastAsia="黑体" w:cs="黑体"/>
          <w:spacing w:val="8"/>
          <w:sz w:val="24"/>
          <w:szCs w:val="24"/>
        </w:rPr>
        <w:t>：迅速脱离现场至空气新鲜处。保持呼吸道通畅。如</w:t>
      </w:r>
      <w:r>
        <w:rPr>
          <w:rFonts w:hint="eastAsia" w:ascii="黑体" w:hAnsi="黑体" w:eastAsia="黑体" w:cs="黑体"/>
          <w:spacing w:val="7"/>
          <w:sz w:val="24"/>
          <w:szCs w:val="24"/>
        </w:rPr>
        <w:t>呼吸困难，给输氧。如呼吸停</w:t>
      </w:r>
      <w:r>
        <w:rPr>
          <w:rFonts w:hint="eastAsia" w:ascii="黑体" w:hAnsi="黑体" w:eastAsia="黑体" w:cs="黑体"/>
          <w:spacing w:val="-2"/>
          <w:sz w:val="24"/>
          <w:szCs w:val="24"/>
        </w:rPr>
        <w:t>止，立即进行人工呼吸，就医。</w:t>
      </w:r>
    </w:p>
    <w:p w14:paraId="732C2F0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37" w:firstLine="478" w:firstLineChars="200"/>
        <w:textAlignment w:val="baseline"/>
        <w:rPr>
          <w:rFonts w:hint="eastAsia" w:ascii="黑体" w:hAnsi="黑体" w:eastAsia="黑体" w:cs="黑体"/>
          <w:spacing w:val="-2"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spacing w:val="-1"/>
          <w:sz w:val="24"/>
          <w:szCs w:val="24"/>
        </w:rPr>
        <w:t>食入：</w:t>
      </w:r>
      <w:r>
        <w:rPr>
          <w:rFonts w:hint="eastAsia" w:ascii="黑体" w:hAnsi="黑体" w:eastAsia="黑体" w:cs="黑体"/>
          <w:spacing w:val="-1"/>
          <w:sz w:val="24"/>
          <w:szCs w:val="24"/>
        </w:rPr>
        <w:t>用水漱口,禁止催吐。给饮牛奶或蛋清。就医</w:t>
      </w:r>
      <w:r>
        <w:rPr>
          <w:rFonts w:hint="eastAsia" w:ascii="黑体" w:hAnsi="黑体" w:eastAsia="黑体" w:cs="黑体"/>
          <w:spacing w:val="-2"/>
          <w:sz w:val="24"/>
          <w:szCs w:val="24"/>
        </w:rPr>
        <w:t>。</w:t>
      </w:r>
    </w:p>
    <w:p w14:paraId="6F76754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8" w:line="360" w:lineRule="auto"/>
        <w:ind w:left="36" w:firstLine="478" w:firstLineChars="200"/>
        <w:textAlignment w:val="baseline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spacing w:val="-1"/>
          <w:sz w:val="24"/>
          <w:szCs w:val="24"/>
        </w:rPr>
        <w:t>对保护施救者的忠告：</w:t>
      </w:r>
      <w:r>
        <w:rPr>
          <w:rFonts w:hint="eastAsia" w:ascii="黑体" w:hAnsi="黑体" w:eastAsia="黑体" w:cs="黑体"/>
          <w:spacing w:val="-1"/>
          <w:sz w:val="24"/>
          <w:szCs w:val="24"/>
        </w:rPr>
        <w:t>根据需要使用个人防护设备</w:t>
      </w:r>
    </w:p>
    <w:p w14:paraId="6DC8119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18" w:line="360" w:lineRule="auto"/>
        <w:ind w:left="36" w:firstLine="474" w:firstLineChars="200"/>
        <w:textAlignment w:val="baseline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spacing w:val="-2"/>
          <w:sz w:val="24"/>
          <w:szCs w:val="24"/>
        </w:rPr>
        <w:t>对医生的特别提示</w:t>
      </w:r>
      <w:r>
        <w:rPr>
          <w:rFonts w:hint="eastAsia" w:ascii="黑体" w:hAnsi="黑体" w:eastAsia="黑体" w:cs="黑体"/>
          <w:spacing w:val="-2"/>
          <w:sz w:val="24"/>
          <w:szCs w:val="24"/>
        </w:rPr>
        <w:t>：对症处理</w:t>
      </w:r>
    </w:p>
    <w:p w14:paraId="727A26B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18" w:line="360" w:lineRule="auto"/>
        <w:ind w:left="41" w:right="24" w:firstLine="478" w:firstLineChars="200"/>
        <w:textAlignment w:val="baseline"/>
        <w:rPr>
          <w:rFonts w:hint="eastAsia" w:ascii="黑体" w:hAnsi="黑体" w:eastAsia="黑体" w:cs="黑体"/>
          <w:spacing w:val="-9"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spacing w:val="-1"/>
          <w:sz w:val="24"/>
          <w:szCs w:val="24"/>
        </w:rPr>
        <w:t>医疗护理和特殊的治疗：</w:t>
      </w:r>
      <w:r>
        <w:rPr>
          <w:rFonts w:hint="eastAsia" w:ascii="黑体" w:hAnsi="黑体" w:eastAsia="黑体" w:cs="黑体"/>
          <w:spacing w:val="-1"/>
          <w:sz w:val="24"/>
          <w:szCs w:val="24"/>
        </w:rPr>
        <w:t>皮肤灼伤用大量清水冲洗灼伤部位后，再用</w:t>
      </w:r>
      <w:r>
        <w:rPr>
          <w:rFonts w:hint="eastAsia" w:ascii="黑体" w:hAnsi="黑体" w:eastAsia="黑体" w:cs="黑体"/>
          <w:spacing w:val="-16"/>
          <w:sz w:val="24"/>
          <w:szCs w:val="24"/>
        </w:rPr>
        <w:t xml:space="preserve"> </w:t>
      </w:r>
      <w:r>
        <w:rPr>
          <w:rFonts w:hint="eastAsia" w:ascii="黑体" w:hAnsi="黑体" w:eastAsia="黑体" w:cs="黑体"/>
          <w:spacing w:val="-1"/>
          <w:sz w:val="24"/>
          <w:szCs w:val="24"/>
        </w:rPr>
        <w:t>2-4%的硼酸溶液中和</w:t>
      </w:r>
      <w:r>
        <w:rPr>
          <w:rFonts w:hint="eastAsia" w:ascii="黑体" w:hAnsi="黑体" w:eastAsia="黑体" w:cs="黑体"/>
          <w:spacing w:val="-9"/>
          <w:sz w:val="24"/>
          <w:szCs w:val="24"/>
        </w:rPr>
        <w:t>处置。</w:t>
      </w:r>
    </w:p>
    <w:p w14:paraId="5779B5A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1" w:line="360" w:lineRule="auto"/>
        <w:jc w:val="center"/>
        <w:textAlignment w:val="baseline"/>
        <w:outlineLvl w:val="0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spacing w:val="-2"/>
          <w:sz w:val="24"/>
          <w:szCs w:val="24"/>
        </w:rPr>
        <w:t>第五部分</w:t>
      </w:r>
      <w:r>
        <w:rPr>
          <w:rFonts w:hint="eastAsia" w:ascii="黑体" w:hAnsi="黑体" w:eastAsia="黑体" w:cs="黑体"/>
          <w:spacing w:val="-2"/>
          <w:sz w:val="24"/>
          <w:szCs w:val="24"/>
        </w:rPr>
        <w:t xml:space="preserve">     </w:t>
      </w:r>
      <w:r>
        <w:rPr>
          <w:rFonts w:hint="eastAsia" w:ascii="黑体" w:hAnsi="黑体" w:eastAsia="黑体" w:cs="黑体"/>
          <w:b/>
          <w:bCs/>
          <w:spacing w:val="-2"/>
          <w:sz w:val="24"/>
          <w:szCs w:val="24"/>
        </w:rPr>
        <w:t>消防措施</w:t>
      </w:r>
    </w:p>
    <w:p w14:paraId="20D5F94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46" w:line="360" w:lineRule="auto"/>
        <w:ind w:left="40" w:firstLine="474" w:firstLineChars="200"/>
        <w:textAlignment w:val="baseline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spacing w:val="-2"/>
          <w:sz w:val="24"/>
          <w:szCs w:val="24"/>
        </w:rPr>
        <w:t>灭火剂：</w:t>
      </w:r>
      <w:r>
        <w:rPr>
          <w:rFonts w:hint="eastAsia" w:ascii="黑体" w:hAnsi="黑体" w:eastAsia="黑体" w:cs="黑体"/>
          <w:spacing w:val="-2"/>
          <w:sz w:val="24"/>
          <w:szCs w:val="24"/>
        </w:rPr>
        <w:t>本品不燃。根据着火原因选择适当灭火剂灭火。</w:t>
      </w:r>
    </w:p>
    <w:p w14:paraId="0F8B0F5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18" w:line="360" w:lineRule="auto"/>
        <w:ind w:left="37" w:firstLine="482" w:firstLineChars="200"/>
        <w:textAlignment w:val="baseline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sz w:val="24"/>
          <w:szCs w:val="24"/>
        </w:rPr>
        <w:t>特别危险性：</w:t>
      </w:r>
      <w:r>
        <w:rPr>
          <w:rFonts w:hint="eastAsia" w:ascii="黑体" w:hAnsi="黑体" w:eastAsia="黑体" w:cs="黑体"/>
          <w:sz w:val="24"/>
          <w:szCs w:val="24"/>
        </w:rPr>
        <w:t>对铝、锌和锡有腐蚀性,并放出易燃</w:t>
      </w:r>
      <w:r>
        <w:rPr>
          <w:rFonts w:hint="eastAsia" w:ascii="黑体" w:hAnsi="黑体" w:eastAsia="黑体" w:cs="黑体"/>
          <w:spacing w:val="-1"/>
          <w:sz w:val="24"/>
          <w:szCs w:val="24"/>
        </w:rPr>
        <w:t>易爆的氢气。具有强腐蚀性。</w:t>
      </w:r>
    </w:p>
    <w:p w14:paraId="3A9C0B8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27" w:line="360" w:lineRule="auto"/>
        <w:ind w:left="38" w:right="45" w:firstLine="490" w:firstLineChars="200"/>
        <w:textAlignment w:val="baseline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spacing w:val="2"/>
          <w:sz w:val="24"/>
          <w:szCs w:val="24"/>
        </w:rPr>
        <w:t>灭火注意事项及防护措施：</w:t>
      </w:r>
      <w:r>
        <w:rPr>
          <w:rFonts w:hint="eastAsia" w:ascii="黑体" w:hAnsi="黑体" w:eastAsia="黑体" w:cs="黑体"/>
          <w:spacing w:val="2"/>
          <w:sz w:val="24"/>
          <w:szCs w:val="24"/>
        </w:rPr>
        <w:t>消防人员必须穿全身耐酸碱消防服</w:t>
      </w:r>
      <w:r>
        <w:rPr>
          <w:rFonts w:hint="eastAsia" w:ascii="黑体" w:hAnsi="黑体" w:eastAsia="黑体" w:cs="黑体"/>
          <w:spacing w:val="1"/>
          <w:sz w:val="24"/>
          <w:szCs w:val="24"/>
        </w:rPr>
        <w:t>、佩戴空气呼吸器灭火。尽</w:t>
      </w:r>
      <w:r>
        <w:rPr>
          <w:rFonts w:hint="eastAsia" w:ascii="黑体" w:hAnsi="黑体" w:eastAsia="黑体" w:cs="黑体"/>
          <w:sz w:val="24"/>
          <w:szCs w:val="24"/>
        </w:rPr>
        <w:t>可能将容器从火场移至空旷处。喷水保持火场容器冷却,直至</w:t>
      </w:r>
      <w:r>
        <w:rPr>
          <w:rFonts w:hint="eastAsia" w:ascii="黑体" w:hAnsi="黑体" w:eastAsia="黑体" w:cs="黑体"/>
          <w:spacing w:val="-1"/>
          <w:sz w:val="24"/>
          <w:szCs w:val="24"/>
        </w:rPr>
        <w:t>灭火结束。</w:t>
      </w:r>
    </w:p>
    <w:p w14:paraId="2EB18CE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44" w:line="360" w:lineRule="auto"/>
        <w:jc w:val="center"/>
        <w:textAlignment w:val="baseline"/>
        <w:outlineLvl w:val="0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spacing w:val="-2"/>
          <w:sz w:val="24"/>
          <w:szCs w:val="24"/>
        </w:rPr>
        <w:t>第六部分</w:t>
      </w:r>
      <w:r>
        <w:rPr>
          <w:rFonts w:hint="eastAsia" w:ascii="黑体" w:hAnsi="黑体" w:eastAsia="黑体" w:cs="黑体"/>
          <w:spacing w:val="-2"/>
          <w:sz w:val="24"/>
          <w:szCs w:val="24"/>
        </w:rPr>
        <w:t xml:space="preserve">    </w:t>
      </w:r>
      <w:r>
        <w:rPr>
          <w:rFonts w:hint="eastAsia" w:ascii="黑体" w:hAnsi="黑体" w:eastAsia="黑体" w:cs="黑体"/>
          <w:b/>
          <w:bCs/>
          <w:spacing w:val="-2"/>
          <w:sz w:val="24"/>
          <w:szCs w:val="24"/>
        </w:rPr>
        <w:t>泄漏应急处理</w:t>
      </w:r>
    </w:p>
    <w:p w14:paraId="6ADAEAD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45" w:line="360" w:lineRule="auto"/>
        <w:ind w:right="23" w:firstLine="478" w:firstLineChars="200"/>
        <w:textAlignment w:val="baseline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spacing w:val="-1"/>
          <w:sz w:val="24"/>
          <w:szCs w:val="24"/>
        </w:rPr>
        <w:t>作业人员防护措施、防护装备和应急处置程序：</w:t>
      </w:r>
      <w:r>
        <w:rPr>
          <w:rFonts w:hint="eastAsia" w:ascii="黑体" w:hAnsi="黑体" w:eastAsia="黑体" w:cs="黑体"/>
          <w:spacing w:val="-1"/>
          <w:sz w:val="24"/>
          <w:szCs w:val="24"/>
        </w:rPr>
        <w:t xml:space="preserve"> 隔离污染区域，切断泄漏源。应急处置时</w:t>
      </w:r>
      <w:r>
        <w:rPr>
          <w:rFonts w:hint="eastAsia" w:ascii="黑体" w:hAnsi="黑体" w:eastAsia="黑体" w:cs="黑体"/>
          <w:spacing w:val="3"/>
          <w:sz w:val="24"/>
          <w:szCs w:val="24"/>
        </w:rPr>
        <w:t>作业人员应穿耐碱防化衣，穿防护靴，戴耐碱防护手套，戴防毒口罩和防护眼</w:t>
      </w:r>
      <w:r>
        <w:rPr>
          <w:rFonts w:hint="eastAsia" w:ascii="黑体" w:hAnsi="黑体" w:eastAsia="黑体" w:cs="黑体"/>
          <w:spacing w:val="9"/>
          <w:sz w:val="24"/>
          <w:szCs w:val="24"/>
        </w:rPr>
        <w:t>镜。液碱少量泄漏时，应用水冲洗，用盐酸中和，排入污水池中；若大量泄</w:t>
      </w:r>
      <w:r>
        <w:rPr>
          <w:rFonts w:hint="eastAsia" w:ascii="黑体" w:hAnsi="黑体" w:eastAsia="黑体" w:cs="黑体"/>
          <w:spacing w:val="-2"/>
          <w:sz w:val="24"/>
          <w:szCs w:val="24"/>
        </w:rPr>
        <w:t>漏，应立即建立围堰，防止扩散，收集后回收利用。</w:t>
      </w:r>
      <w:r>
        <w:rPr>
          <w:rFonts w:hint="eastAsia" w:ascii="黑体" w:hAnsi="黑体" w:eastAsia="黑体" w:cs="黑体"/>
          <w:b/>
          <w:bCs/>
          <w:spacing w:val="-2"/>
          <w:sz w:val="24"/>
          <w:szCs w:val="24"/>
        </w:rPr>
        <w:t>环境保护措施：</w:t>
      </w:r>
      <w:r>
        <w:rPr>
          <w:rFonts w:hint="eastAsia" w:ascii="黑体" w:hAnsi="黑体" w:eastAsia="黑体" w:cs="黑体"/>
          <w:spacing w:val="-2"/>
          <w:sz w:val="24"/>
          <w:szCs w:val="24"/>
        </w:rPr>
        <w:t>防止泄漏物进入水体，以免污染</w:t>
      </w:r>
      <w:r>
        <w:rPr>
          <w:rFonts w:hint="eastAsia" w:ascii="黑体" w:hAnsi="黑体" w:eastAsia="黑体" w:cs="黑体"/>
          <w:spacing w:val="-3"/>
          <w:sz w:val="24"/>
          <w:szCs w:val="24"/>
        </w:rPr>
        <w:t>环境。</w:t>
      </w:r>
    </w:p>
    <w:p w14:paraId="270DBDB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40" w:firstLine="522" w:firstLineChars="200"/>
        <w:textAlignment w:val="baseline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spacing w:val="10"/>
          <w:sz w:val="24"/>
          <w:szCs w:val="24"/>
        </w:rPr>
        <w:t>泄漏后的消除方法：</w:t>
      </w:r>
      <w:r>
        <w:rPr>
          <w:rFonts w:hint="eastAsia" w:ascii="黑体" w:hAnsi="黑体" w:eastAsia="黑体" w:cs="黑体"/>
          <w:spacing w:val="10"/>
          <w:sz w:val="24"/>
          <w:szCs w:val="24"/>
        </w:rPr>
        <w:t>用大量水冲洗，冲洗水中和调节至中性，再排入废水系统。</w:t>
      </w:r>
    </w:p>
    <w:p w14:paraId="41FCF19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18" w:line="360" w:lineRule="auto"/>
        <w:ind w:right="29" w:firstLine="486" w:firstLineChars="200"/>
        <w:textAlignment w:val="baseline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spacing w:val="1"/>
          <w:sz w:val="24"/>
          <w:szCs w:val="24"/>
        </w:rPr>
        <w:t>防止发生次生危害的预防措施：</w:t>
      </w:r>
      <w:r>
        <w:rPr>
          <w:rFonts w:hint="eastAsia" w:ascii="黑体" w:hAnsi="黑体" w:eastAsia="黑体" w:cs="黑体"/>
          <w:spacing w:val="-60"/>
          <w:sz w:val="24"/>
          <w:szCs w:val="24"/>
        </w:rPr>
        <w:t xml:space="preserve"> </w:t>
      </w:r>
      <w:r>
        <w:rPr>
          <w:rFonts w:hint="eastAsia" w:ascii="黑体" w:hAnsi="黑体" w:eastAsia="黑体" w:cs="黑体"/>
          <w:spacing w:val="1"/>
          <w:sz w:val="24"/>
          <w:szCs w:val="24"/>
        </w:rPr>
        <w:t>收集泄漏的碱液，生</w:t>
      </w:r>
      <w:r>
        <w:rPr>
          <w:rFonts w:hint="eastAsia" w:ascii="黑体" w:hAnsi="黑体" w:eastAsia="黑体" w:cs="黑体"/>
          <w:sz w:val="24"/>
          <w:szCs w:val="24"/>
        </w:rPr>
        <w:t>产装置密闭，装置现场设置冲淋洗眼</w:t>
      </w:r>
      <w:r>
        <w:rPr>
          <w:rFonts w:hint="eastAsia" w:ascii="黑体" w:hAnsi="黑体" w:eastAsia="黑体" w:cs="黑体"/>
          <w:spacing w:val="-9"/>
          <w:sz w:val="24"/>
          <w:szCs w:val="24"/>
        </w:rPr>
        <w:t>设施。</w:t>
      </w:r>
    </w:p>
    <w:p w14:paraId="25FCB04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7" w:line="360" w:lineRule="auto"/>
        <w:jc w:val="center"/>
        <w:textAlignment w:val="baseline"/>
        <w:outlineLvl w:val="0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spacing w:val="-2"/>
          <w:sz w:val="24"/>
          <w:szCs w:val="24"/>
        </w:rPr>
        <w:t>第七部分</w:t>
      </w:r>
      <w:r>
        <w:rPr>
          <w:rFonts w:hint="eastAsia" w:ascii="黑体" w:hAnsi="黑体" w:eastAsia="黑体" w:cs="黑体"/>
          <w:spacing w:val="-2"/>
          <w:sz w:val="24"/>
          <w:szCs w:val="24"/>
        </w:rPr>
        <w:t xml:space="preserve">   </w:t>
      </w:r>
      <w:r>
        <w:rPr>
          <w:rFonts w:hint="eastAsia" w:ascii="黑体" w:hAnsi="黑体" w:eastAsia="黑体" w:cs="黑体"/>
          <w:b/>
          <w:bCs/>
          <w:spacing w:val="-2"/>
          <w:sz w:val="24"/>
          <w:szCs w:val="24"/>
        </w:rPr>
        <w:t>操作处置与储存</w:t>
      </w:r>
    </w:p>
    <w:p w14:paraId="1E3D862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44" w:line="360" w:lineRule="auto"/>
        <w:ind w:right="27" w:firstLine="494" w:firstLineChars="200"/>
        <w:textAlignment w:val="baseline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spacing w:val="3"/>
          <w:sz w:val="24"/>
          <w:szCs w:val="24"/>
        </w:rPr>
        <w:t>操作处置</w:t>
      </w:r>
      <w:r>
        <w:rPr>
          <w:rFonts w:hint="eastAsia" w:ascii="黑体" w:hAnsi="黑体" w:eastAsia="黑体" w:cs="黑体"/>
          <w:spacing w:val="3"/>
          <w:sz w:val="24"/>
          <w:szCs w:val="24"/>
        </w:rPr>
        <w:t>：操作人员必须经过专门培训持证上岗，</w:t>
      </w:r>
      <w:r>
        <w:rPr>
          <w:rFonts w:hint="eastAsia" w:ascii="黑体" w:hAnsi="黑体" w:eastAsia="黑体" w:cs="黑体"/>
          <w:spacing w:val="2"/>
          <w:sz w:val="24"/>
          <w:szCs w:val="24"/>
        </w:rPr>
        <w:t>严格遵守操作规程。建议操作人员穿耐</w:t>
      </w:r>
      <w:r>
        <w:rPr>
          <w:rFonts w:hint="eastAsia" w:ascii="黑体" w:hAnsi="黑体" w:eastAsia="黑体" w:cs="黑体"/>
          <w:spacing w:val="11"/>
          <w:sz w:val="24"/>
          <w:szCs w:val="24"/>
        </w:rPr>
        <w:t>酸碱服，戴耐酸碱手套，戴防护眼镜。避免与酸类、</w:t>
      </w:r>
      <w:r>
        <w:rPr>
          <w:rFonts w:hint="eastAsia" w:ascii="黑体" w:hAnsi="黑体" w:eastAsia="黑体" w:cs="黑体"/>
          <w:spacing w:val="10"/>
          <w:sz w:val="24"/>
          <w:szCs w:val="24"/>
        </w:rPr>
        <w:t>易燃可燃物接</w:t>
      </w:r>
      <w:r>
        <w:rPr>
          <w:rFonts w:hint="eastAsia" w:ascii="黑体" w:hAnsi="黑体" w:eastAsia="黑体" w:cs="黑体"/>
          <w:spacing w:val="3"/>
          <w:sz w:val="24"/>
          <w:szCs w:val="24"/>
        </w:rPr>
        <w:t>触。阀门要轻开轻关，防止泄漏；配备泄漏应急处理设备。稀释溶液</w:t>
      </w:r>
      <w:r>
        <w:rPr>
          <w:rFonts w:hint="eastAsia" w:ascii="黑体" w:hAnsi="黑体" w:eastAsia="黑体" w:cs="黑体"/>
          <w:spacing w:val="11"/>
          <w:sz w:val="24"/>
          <w:szCs w:val="24"/>
        </w:rPr>
        <w:t>时，应把碱加入水中，避免沸腾和飞溅。倒空的容器可能残留有害</w:t>
      </w:r>
      <w:r>
        <w:rPr>
          <w:rFonts w:hint="eastAsia" w:ascii="黑体" w:hAnsi="黑体" w:eastAsia="黑体" w:cs="黑体"/>
          <w:spacing w:val="-10"/>
          <w:sz w:val="24"/>
          <w:szCs w:val="24"/>
        </w:rPr>
        <w:t>物。</w:t>
      </w:r>
    </w:p>
    <w:p w14:paraId="480A270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26" w:firstLine="494" w:firstLineChars="200"/>
        <w:textAlignment w:val="baseline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spacing w:val="3"/>
          <w:sz w:val="24"/>
          <w:szCs w:val="24"/>
        </w:rPr>
        <w:t>储存</w:t>
      </w:r>
      <w:r>
        <w:rPr>
          <w:rFonts w:hint="eastAsia" w:ascii="黑体" w:hAnsi="黑体" w:eastAsia="黑体" w:cs="黑体"/>
          <w:spacing w:val="3"/>
          <w:sz w:val="24"/>
          <w:szCs w:val="24"/>
        </w:rPr>
        <w:t>：储存于阴凉、干燥、通风良好的库房，远离火种、热源。库温</w:t>
      </w:r>
      <w:r>
        <w:rPr>
          <w:rFonts w:hint="eastAsia" w:ascii="黑体" w:hAnsi="黑体" w:eastAsia="黑体" w:cs="黑体"/>
          <w:spacing w:val="2"/>
          <w:sz w:val="24"/>
          <w:szCs w:val="24"/>
        </w:rPr>
        <w:t>不超过 35℃,相对湿</w:t>
      </w:r>
      <w:r>
        <w:rPr>
          <w:rFonts w:hint="eastAsia" w:ascii="黑体" w:hAnsi="黑体" w:eastAsia="黑体" w:cs="黑体"/>
          <w:spacing w:val="1"/>
          <w:sz w:val="24"/>
          <w:szCs w:val="24"/>
        </w:rPr>
        <w:t>度不超过 80%。液碱储罐应设置围堰，并有明显标志。围堰内严禁堆放易</w:t>
      </w:r>
      <w:r>
        <w:rPr>
          <w:rFonts w:hint="eastAsia" w:ascii="黑体" w:hAnsi="黑体" w:eastAsia="黑体" w:cs="黑体"/>
          <w:spacing w:val="-1"/>
          <w:sz w:val="24"/>
          <w:szCs w:val="24"/>
        </w:rPr>
        <w:t>燃物、可燃物和酸类物质。储罐区应备有合适的材料收容泄漏物。</w:t>
      </w:r>
    </w:p>
    <w:p w14:paraId="1B27310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1" w:line="360" w:lineRule="auto"/>
        <w:ind w:right="1486"/>
        <w:jc w:val="center"/>
        <w:textAlignment w:val="baseline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spacing w:val="-2"/>
          <w:sz w:val="24"/>
          <w:szCs w:val="24"/>
          <w:lang w:val="en-US" w:eastAsia="zh-CN"/>
        </w:rPr>
        <w:t xml:space="preserve">              </w:t>
      </w:r>
      <w:r>
        <w:rPr>
          <w:rFonts w:hint="eastAsia" w:ascii="黑体" w:hAnsi="黑体" w:eastAsia="黑体" w:cs="黑体"/>
          <w:b/>
          <w:bCs/>
          <w:spacing w:val="-2"/>
          <w:sz w:val="24"/>
          <w:szCs w:val="24"/>
        </w:rPr>
        <w:t>第八部分</w:t>
      </w:r>
      <w:r>
        <w:rPr>
          <w:rFonts w:hint="eastAsia" w:ascii="黑体" w:hAnsi="黑体" w:eastAsia="黑体" w:cs="黑体"/>
          <w:spacing w:val="-2"/>
          <w:sz w:val="24"/>
          <w:szCs w:val="24"/>
        </w:rPr>
        <w:t xml:space="preserve">   </w:t>
      </w:r>
      <w:r>
        <w:rPr>
          <w:rFonts w:hint="eastAsia" w:ascii="黑体" w:hAnsi="黑体" w:eastAsia="黑体" w:cs="黑体"/>
          <w:b/>
          <w:bCs/>
          <w:spacing w:val="-2"/>
          <w:sz w:val="24"/>
          <w:szCs w:val="24"/>
        </w:rPr>
        <w:t>接触控制/个体防护</w:t>
      </w:r>
      <w:r>
        <w:rPr>
          <w:rFonts w:hint="eastAsia" w:ascii="黑体" w:hAnsi="黑体" w:eastAsia="黑体" w:cs="黑体"/>
          <w:b/>
          <w:bCs/>
          <w:spacing w:val="-1"/>
          <w:sz w:val="24"/>
          <w:szCs w:val="24"/>
        </w:rPr>
        <w:t>最高容许浓度</w:t>
      </w:r>
      <w:r>
        <w:rPr>
          <w:rFonts w:hint="eastAsia" w:ascii="黑体" w:hAnsi="黑体" w:eastAsia="黑体" w:cs="黑体"/>
          <w:spacing w:val="-1"/>
          <w:sz w:val="24"/>
          <w:szCs w:val="24"/>
        </w:rPr>
        <w:t>：中国（MAC）2mg/m</w:t>
      </w:r>
      <w:r>
        <w:rPr>
          <w:rFonts w:hint="eastAsia" w:ascii="黑体" w:hAnsi="黑体" w:eastAsia="黑体" w:cs="黑体"/>
          <w:spacing w:val="-1"/>
          <w:position w:val="6"/>
          <w:sz w:val="24"/>
          <w:szCs w:val="24"/>
        </w:rPr>
        <w:t>3</w:t>
      </w:r>
      <w:r>
        <w:rPr>
          <w:rFonts w:hint="eastAsia" w:ascii="黑体" w:hAnsi="黑体" w:eastAsia="黑体" w:cs="黑体"/>
          <w:spacing w:val="-1"/>
          <w:sz w:val="24"/>
          <w:szCs w:val="24"/>
        </w:rPr>
        <w:t>。</w:t>
      </w:r>
    </w:p>
    <w:p w14:paraId="1E96E7F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1" w:line="360" w:lineRule="auto"/>
        <w:ind w:left="37" w:firstLine="470" w:firstLineChars="200"/>
        <w:textAlignment w:val="baseline"/>
        <w:rPr>
          <w:rFonts w:hint="eastAsia" w:ascii="黑体" w:hAnsi="黑体" w:eastAsia="黑体" w:cs="黑体"/>
          <w:spacing w:val="-3"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spacing w:val="-3"/>
          <w:sz w:val="24"/>
          <w:szCs w:val="24"/>
        </w:rPr>
        <w:t>监测方法</w:t>
      </w:r>
      <w:r>
        <w:rPr>
          <w:rFonts w:hint="eastAsia" w:ascii="黑体" w:hAnsi="黑体" w:eastAsia="黑体" w:cs="黑体"/>
          <w:spacing w:val="-3"/>
          <w:sz w:val="24"/>
          <w:szCs w:val="24"/>
        </w:rPr>
        <w:t>：火焰光度法。</w:t>
      </w:r>
    </w:p>
    <w:p w14:paraId="6A3F8B7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1" w:line="360" w:lineRule="auto"/>
        <w:ind w:left="37" w:firstLine="482" w:firstLineChars="200"/>
        <w:textAlignment w:val="baseline"/>
        <w:rPr>
          <w:rFonts w:hint="eastAsia" w:ascii="黑体" w:hAnsi="黑体" w:eastAsia="黑体" w:cs="黑体"/>
          <w:spacing w:val="-1"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sz w:val="24"/>
          <w:szCs w:val="24"/>
        </w:rPr>
        <w:t>工程控制方法</w:t>
      </w:r>
      <w:r>
        <w:rPr>
          <w:rFonts w:hint="eastAsia" w:ascii="黑体" w:hAnsi="黑体" w:eastAsia="黑体" w:cs="黑体"/>
          <w:sz w:val="24"/>
          <w:szCs w:val="24"/>
        </w:rPr>
        <w:t>：系统密闭，采用自动化控制系统，DCS 操作；</w:t>
      </w:r>
      <w:r>
        <w:rPr>
          <w:rFonts w:hint="eastAsia" w:ascii="黑体" w:hAnsi="黑体" w:eastAsia="黑体" w:cs="黑体"/>
          <w:spacing w:val="-1"/>
          <w:sz w:val="24"/>
          <w:szCs w:val="24"/>
        </w:rPr>
        <w:t>提供安全淋浴和洗眼设备。</w:t>
      </w:r>
    </w:p>
    <w:p w14:paraId="38FCC36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1" w:line="360" w:lineRule="auto"/>
        <w:ind w:left="37" w:firstLine="490" w:firstLineChars="200"/>
        <w:textAlignment w:val="baseline"/>
        <w:rPr>
          <w:rFonts w:hint="eastAsia" w:ascii="黑体" w:hAnsi="黑体" w:eastAsia="黑体" w:cs="黑体"/>
          <w:b/>
          <w:bCs/>
          <w:spacing w:val="-2"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spacing w:val="2"/>
          <w:sz w:val="24"/>
          <w:szCs w:val="24"/>
        </w:rPr>
        <w:t>呼吸系统防护</w:t>
      </w:r>
      <w:r>
        <w:rPr>
          <w:rFonts w:hint="eastAsia" w:ascii="黑体" w:hAnsi="黑体" w:eastAsia="黑体" w:cs="黑体"/>
          <w:spacing w:val="2"/>
          <w:sz w:val="24"/>
          <w:szCs w:val="24"/>
        </w:rPr>
        <w:t>：可能接触碱雾时，必须佩戴防护面罩或戴防护口罩，必要时，佩</w:t>
      </w:r>
      <w:r>
        <w:rPr>
          <w:rFonts w:hint="eastAsia" w:ascii="黑体" w:hAnsi="黑体" w:eastAsia="黑体" w:cs="黑体"/>
          <w:spacing w:val="1"/>
          <w:sz w:val="24"/>
          <w:szCs w:val="24"/>
        </w:rPr>
        <w:t>戴空气呼</w:t>
      </w:r>
      <w:r>
        <w:rPr>
          <w:rFonts w:hint="eastAsia" w:ascii="黑体" w:hAnsi="黑体" w:eastAsia="黑体" w:cs="黑体"/>
          <w:spacing w:val="-10"/>
          <w:sz w:val="24"/>
          <w:szCs w:val="24"/>
        </w:rPr>
        <w:t>吸器。</w:t>
      </w:r>
    </w:p>
    <w:p w14:paraId="0CD231F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50" w:firstLine="474" w:firstLineChars="200"/>
        <w:textAlignment w:val="baseline"/>
        <w:rPr>
          <w:rFonts w:hint="eastAsia" w:ascii="黑体" w:hAnsi="黑体" w:eastAsia="黑体" w:cs="黑体"/>
          <w:spacing w:val="-2"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spacing w:val="-2"/>
          <w:sz w:val="24"/>
          <w:szCs w:val="24"/>
        </w:rPr>
        <w:t>眼睛防护：</w:t>
      </w:r>
      <w:r>
        <w:rPr>
          <w:rFonts w:hint="eastAsia" w:ascii="黑体" w:hAnsi="黑体" w:eastAsia="黑体" w:cs="黑体"/>
          <w:spacing w:val="-2"/>
          <w:sz w:val="24"/>
          <w:szCs w:val="24"/>
        </w:rPr>
        <w:t>呼吸系统防护中已作防护或佩带防护眼镜。</w:t>
      </w:r>
    </w:p>
    <w:p w14:paraId="19AEE50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50" w:firstLine="474" w:firstLineChars="200"/>
        <w:textAlignment w:val="baseline"/>
        <w:rPr>
          <w:rFonts w:hint="eastAsia" w:ascii="黑体" w:hAnsi="黑体" w:eastAsia="黑体" w:cs="黑体"/>
          <w:spacing w:val="-2"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spacing w:val="-2"/>
          <w:sz w:val="24"/>
          <w:szCs w:val="24"/>
        </w:rPr>
        <w:t>皮肤和身体防护</w:t>
      </w:r>
      <w:r>
        <w:rPr>
          <w:rFonts w:hint="eastAsia" w:ascii="黑体" w:hAnsi="黑体" w:eastAsia="黑体" w:cs="黑体"/>
          <w:spacing w:val="-2"/>
          <w:sz w:val="24"/>
          <w:szCs w:val="24"/>
        </w:rPr>
        <w:t>：穿耐酸碱服，穿耐酸碱靴。</w:t>
      </w:r>
    </w:p>
    <w:p w14:paraId="14DBDD8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50" w:firstLine="470" w:firstLineChars="200"/>
        <w:textAlignment w:val="baseline"/>
        <w:rPr>
          <w:rFonts w:hint="eastAsia" w:ascii="黑体" w:hAnsi="黑体" w:eastAsia="黑体" w:cs="黑体"/>
          <w:spacing w:val="-3"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spacing w:val="-3"/>
          <w:sz w:val="24"/>
          <w:szCs w:val="24"/>
        </w:rPr>
        <w:t>手防护：</w:t>
      </w:r>
      <w:r>
        <w:rPr>
          <w:rFonts w:hint="eastAsia" w:ascii="黑体" w:hAnsi="黑体" w:eastAsia="黑体" w:cs="黑体"/>
          <w:spacing w:val="-3"/>
          <w:sz w:val="24"/>
          <w:szCs w:val="24"/>
        </w:rPr>
        <w:t>戴耐酸碱手套。</w:t>
      </w:r>
    </w:p>
    <w:p w14:paraId="4D6BD41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90" w:firstLineChars="200"/>
        <w:textAlignment w:val="baseline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spacing w:val="2"/>
          <w:sz w:val="24"/>
          <w:szCs w:val="24"/>
        </w:rPr>
        <w:t>其它防护</w:t>
      </w:r>
      <w:r>
        <w:rPr>
          <w:rFonts w:hint="eastAsia" w:ascii="黑体" w:hAnsi="黑体" w:eastAsia="黑体" w:cs="黑体"/>
          <w:spacing w:val="2"/>
          <w:sz w:val="24"/>
          <w:szCs w:val="24"/>
        </w:rPr>
        <w:t>：工作场所禁止吸烟、进食和饮水、饭前要洗手。工作完毕，沐浴更衣。注意个</w:t>
      </w:r>
      <w:r>
        <w:rPr>
          <w:rFonts w:hint="eastAsia" w:ascii="黑体" w:hAnsi="黑体" w:eastAsia="黑体" w:cs="黑体"/>
          <w:spacing w:val="-2"/>
          <w:sz w:val="24"/>
          <w:szCs w:val="24"/>
        </w:rPr>
        <w:t>人清洁卫生。</w:t>
      </w:r>
    </w:p>
    <w:p w14:paraId="75D7D51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8" w:line="360" w:lineRule="auto"/>
        <w:jc w:val="center"/>
        <w:textAlignment w:val="baseline"/>
        <w:outlineLvl w:val="0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spacing w:val="-2"/>
          <w:sz w:val="24"/>
          <w:szCs w:val="24"/>
        </w:rPr>
        <w:t>第九部分</w:t>
      </w:r>
      <w:r>
        <w:rPr>
          <w:rFonts w:hint="eastAsia" w:ascii="黑体" w:hAnsi="黑体" w:eastAsia="黑体" w:cs="黑体"/>
          <w:spacing w:val="-2"/>
          <w:sz w:val="24"/>
          <w:szCs w:val="24"/>
        </w:rPr>
        <w:t xml:space="preserve">     </w:t>
      </w:r>
      <w:r>
        <w:rPr>
          <w:rFonts w:hint="eastAsia" w:ascii="黑体" w:hAnsi="黑体" w:eastAsia="黑体" w:cs="黑体"/>
          <w:b/>
          <w:bCs/>
          <w:spacing w:val="-2"/>
          <w:sz w:val="24"/>
          <w:szCs w:val="24"/>
        </w:rPr>
        <w:t>理化特性</w:t>
      </w:r>
    </w:p>
    <w:p w14:paraId="10CCE30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47" w:line="360" w:lineRule="auto"/>
        <w:ind w:left="41" w:firstLine="478" w:firstLineChars="200"/>
        <w:textAlignment w:val="baseline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spacing w:val="-1"/>
          <w:sz w:val="24"/>
          <w:szCs w:val="24"/>
        </w:rPr>
        <w:t>外观与性状</w:t>
      </w:r>
      <w:r>
        <w:rPr>
          <w:rFonts w:hint="eastAsia" w:ascii="黑体" w:hAnsi="黑体" w:eastAsia="黑体" w:cs="黑体"/>
          <w:spacing w:val="-1"/>
          <w:sz w:val="24"/>
          <w:szCs w:val="24"/>
        </w:rPr>
        <w:t>：液碱为无色粘稠状液体。</w:t>
      </w:r>
    </w:p>
    <w:p w14:paraId="25BAB4F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17" w:line="360" w:lineRule="auto"/>
        <w:ind w:left="37" w:firstLine="474" w:firstLineChars="200"/>
        <w:textAlignment w:val="baseline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spacing w:val="-2"/>
          <w:sz w:val="24"/>
          <w:szCs w:val="24"/>
        </w:rPr>
        <w:t>气味；</w:t>
      </w:r>
      <w:r>
        <w:rPr>
          <w:rFonts w:hint="eastAsia" w:ascii="黑体" w:hAnsi="黑体" w:eastAsia="黑体" w:cs="黑体"/>
          <w:spacing w:val="-2"/>
          <w:sz w:val="24"/>
          <w:szCs w:val="24"/>
        </w:rPr>
        <w:t>刺激性气味</w:t>
      </w:r>
    </w:p>
    <w:p w14:paraId="0623BB9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18" w:line="360" w:lineRule="auto"/>
        <w:ind w:left="34" w:firstLine="470" w:firstLineChars="200"/>
        <w:textAlignment w:val="baseline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spacing w:val="-3"/>
          <w:sz w:val="24"/>
          <w:szCs w:val="24"/>
        </w:rPr>
        <w:t>PH 值/浓度：</w:t>
      </w:r>
      <w:r>
        <w:rPr>
          <w:rFonts w:hint="eastAsia" w:ascii="黑体" w:hAnsi="黑体" w:eastAsia="黑体" w:cs="黑体"/>
          <w:spacing w:val="38"/>
          <w:sz w:val="24"/>
          <w:szCs w:val="24"/>
        </w:rPr>
        <w:t xml:space="preserve"> </w:t>
      </w:r>
      <w:r>
        <w:rPr>
          <w:rFonts w:hint="eastAsia" w:ascii="黑体" w:hAnsi="黑体" w:eastAsia="黑体" w:cs="黑体"/>
          <w:spacing w:val="-3"/>
          <w:sz w:val="24"/>
          <w:szCs w:val="24"/>
        </w:rPr>
        <w:t>12.7（1%溶液）</w:t>
      </w:r>
    </w:p>
    <w:p w14:paraId="6DC614F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01" w:line="360" w:lineRule="auto"/>
        <w:ind w:left="37" w:firstLine="478" w:firstLineChars="200"/>
        <w:textAlignment w:val="baseline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spacing w:val="-1"/>
          <w:sz w:val="24"/>
          <w:szCs w:val="24"/>
        </w:rPr>
        <w:t>熔点/凝固点</w:t>
      </w:r>
      <w:r>
        <w:rPr>
          <w:rFonts w:hint="eastAsia" w:ascii="黑体" w:hAnsi="黑体" w:eastAsia="黑体" w:cs="黑体"/>
          <w:spacing w:val="-1"/>
          <w:sz w:val="24"/>
          <w:szCs w:val="24"/>
        </w:rPr>
        <w:t xml:space="preserve"> </w:t>
      </w:r>
      <w:r>
        <w:rPr>
          <w:rFonts w:hint="eastAsia" w:ascii="黑体" w:hAnsi="黑体" w:eastAsia="黑体" w:cs="黑体"/>
          <w:b/>
          <w:bCs/>
          <w:spacing w:val="-1"/>
          <w:sz w:val="24"/>
          <w:szCs w:val="24"/>
        </w:rPr>
        <w:t>(℃)：</w:t>
      </w:r>
      <w:r>
        <w:rPr>
          <w:rFonts w:hint="eastAsia" w:ascii="黑体" w:hAnsi="黑体" w:eastAsia="黑体" w:cs="黑体"/>
          <w:spacing w:val="-1"/>
          <w:sz w:val="24"/>
          <w:szCs w:val="24"/>
        </w:rPr>
        <w:t>0.1（30%）</w:t>
      </w:r>
    </w:p>
    <w:p w14:paraId="116DEDE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00" w:line="360" w:lineRule="auto"/>
        <w:ind w:left="37" w:firstLine="470" w:firstLineChars="200"/>
        <w:textAlignment w:val="baseline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spacing w:val="-3"/>
          <w:sz w:val="24"/>
          <w:szCs w:val="24"/>
        </w:rPr>
        <w:t>沸点</w:t>
      </w:r>
      <w:r>
        <w:rPr>
          <w:rFonts w:hint="eastAsia" w:ascii="黑体" w:hAnsi="黑体" w:eastAsia="黑体" w:cs="黑体"/>
          <w:spacing w:val="-3"/>
          <w:sz w:val="24"/>
          <w:szCs w:val="24"/>
        </w:rPr>
        <w:t xml:space="preserve"> (℃)</w:t>
      </w:r>
      <w:r>
        <w:rPr>
          <w:rFonts w:hint="eastAsia" w:ascii="黑体" w:hAnsi="黑体" w:eastAsia="黑体" w:cs="黑体"/>
          <w:b/>
          <w:bCs/>
          <w:spacing w:val="-3"/>
          <w:sz w:val="24"/>
          <w:szCs w:val="24"/>
        </w:rPr>
        <w:t>：</w:t>
      </w:r>
      <w:r>
        <w:rPr>
          <w:rFonts w:hint="eastAsia" w:ascii="黑体" w:hAnsi="黑体" w:eastAsia="黑体" w:cs="黑体"/>
          <w:spacing w:val="33"/>
          <w:sz w:val="24"/>
          <w:szCs w:val="24"/>
        </w:rPr>
        <w:t xml:space="preserve"> </w:t>
      </w:r>
      <w:r>
        <w:rPr>
          <w:rFonts w:hint="eastAsia" w:ascii="黑体" w:hAnsi="黑体" w:eastAsia="黑体" w:cs="黑体"/>
          <w:spacing w:val="-3"/>
          <w:sz w:val="24"/>
          <w:szCs w:val="24"/>
        </w:rPr>
        <w:t>118.3（32%）</w:t>
      </w:r>
    </w:p>
    <w:p w14:paraId="6C02774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00" w:line="360" w:lineRule="auto"/>
        <w:ind w:left="56" w:firstLine="478" w:firstLineChars="200"/>
        <w:textAlignment w:val="baseline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spacing w:val="-1"/>
          <w:sz w:val="24"/>
          <w:szCs w:val="24"/>
        </w:rPr>
        <w:t>闪点</w:t>
      </w:r>
      <w:r>
        <w:rPr>
          <w:rFonts w:hint="eastAsia" w:ascii="黑体" w:hAnsi="黑体" w:eastAsia="黑体" w:cs="黑体"/>
          <w:spacing w:val="-1"/>
          <w:sz w:val="24"/>
          <w:szCs w:val="24"/>
        </w:rPr>
        <w:t>(℃)</w:t>
      </w:r>
      <w:r>
        <w:rPr>
          <w:rFonts w:hint="eastAsia" w:ascii="黑体" w:hAnsi="黑体" w:eastAsia="黑体" w:cs="黑体"/>
          <w:spacing w:val="-52"/>
          <w:w w:val="93"/>
          <w:sz w:val="24"/>
          <w:szCs w:val="24"/>
        </w:rPr>
        <w:t>：（</w:t>
      </w:r>
      <w:r>
        <w:rPr>
          <w:rFonts w:hint="eastAsia" w:ascii="黑体" w:hAnsi="黑体" w:eastAsia="黑体" w:cs="黑体"/>
          <w:spacing w:val="-1"/>
          <w:sz w:val="24"/>
          <w:szCs w:val="24"/>
        </w:rPr>
        <w:t>无意义）</w:t>
      </w:r>
    </w:p>
    <w:p w14:paraId="7C6DBEB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25" w:line="360" w:lineRule="auto"/>
        <w:ind w:left="37" w:firstLine="498" w:firstLineChars="200"/>
        <w:textAlignment w:val="baseline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spacing w:val="4"/>
          <w:sz w:val="24"/>
          <w:szCs w:val="24"/>
        </w:rPr>
        <w:t>爆炸极限</w:t>
      </w:r>
      <w:r>
        <w:rPr>
          <w:rFonts w:hint="eastAsia" w:ascii="黑体" w:hAnsi="黑体" w:eastAsia="黑体" w:cs="黑体"/>
          <w:b/>
          <w:bCs/>
          <w:spacing w:val="-47"/>
          <w:w w:val="84"/>
          <w:sz w:val="24"/>
          <w:szCs w:val="24"/>
        </w:rPr>
        <w:t>：</w:t>
      </w:r>
      <w:r>
        <w:rPr>
          <w:rFonts w:hint="eastAsia" w:ascii="黑体" w:hAnsi="黑体" w:eastAsia="黑体" w:cs="黑体"/>
          <w:spacing w:val="-47"/>
          <w:w w:val="84"/>
          <w:sz w:val="24"/>
          <w:szCs w:val="24"/>
        </w:rPr>
        <w:t>（</w:t>
      </w:r>
      <w:r>
        <w:rPr>
          <w:rFonts w:hint="eastAsia" w:ascii="黑体" w:hAnsi="黑体" w:eastAsia="黑体" w:cs="黑体"/>
          <w:spacing w:val="4"/>
          <w:sz w:val="24"/>
          <w:szCs w:val="24"/>
        </w:rPr>
        <w:t>无意义）</w:t>
      </w:r>
    </w:p>
    <w:p w14:paraId="792E7B6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17" w:line="360" w:lineRule="auto"/>
        <w:ind w:left="36" w:right="5251" w:firstLine="474" w:firstLineChars="200"/>
        <w:textAlignment w:val="baseline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spacing w:val="-2"/>
          <w:sz w:val="24"/>
          <w:szCs w:val="24"/>
        </w:rPr>
        <w:t>饱和蒸汽压</w:t>
      </w:r>
      <w:r>
        <w:rPr>
          <w:rFonts w:hint="eastAsia" w:ascii="黑体" w:hAnsi="黑体" w:eastAsia="黑体" w:cs="黑体"/>
          <w:spacing w:val="-2"/>
          <w:sz w:val="24"/>
          <w:szCs w:val="24"/>
        </w:rPr>
        <w:t>（kPa</w:t>
      </w:r>
      <w:r>
        <w:rPr>
          <w:rFonts w:hint="eastAsia" w:ascii="黑体" w:hAnsi="黑体" w:eastAsia="黑体" w:cs="黑体"/>
          <w:spacing w:val="-48"/>
          <w:sz w:val="24"/>
          <w:szCs w:val="24"/>
        </w:rPr>
        <w:t>）：</w:t>
      </w:r>
      <w:r>
        <w:rPr>
          <w:rFonts w:hint="eastAsia" w:ascii="黑体" w:hAnsi="黑体" w:eastAsia="黑体" w:cs="黑体"/>
          <w:spacing w:val="-2"/>
          <w:sz w:val="24"/>
          <w:szCs w:val="24"/>
        </w:rPr>
        <w:t>0.13（739℃)</w:t>
      </w:r>
      <w:r>
        <w:rPr>
          <w:rFonts w:hint="eastAsia" w:ascii="黑体" w:hAnsi="黑体" w:eastAsia="黑体" w:cs="黑体"/>
          <w:b/>
          <w:bCs/>
          <w:spacing w:val="-2"/>
          <w:sz w:val="24"/>
          <w:szCs w:val="24"/>
        </w:rPr>
        <w:t>相对蒸气密度（空气=1</w:t>
      </w:r>
      <w:r>
        <w:rPr>
          <w:rFonts w:hint="eastAsia" w:ascii="黑体" w:hAnsi="黑体" w:eastAsia="黑体" w:cs="黑体"/>
          <w:b/>
          <w:bCs/>
          <w:spacing w:val="-49"/>
          <w:sz w:val="24"/>
          <w:szCs w:val="24"/>
        </w:rPr>
        <w:t>）：</w:t>
      </w:r>
      <w:r>
        <w:rPr>
          <w:rFonts w:hint="eastAsia" w:ascii="黑体" w:hAnsi="黑体" w:eastAsia="黑体" w:cs="黑体"/>
          <w:spacing w:val="-2"/>
          <w:sz w:val="24"/>
          <w:szCs w:val="24"/>
        </w:rPr>
        <w:t>无资料</w:t>
      </w:r>
      <w:r>
        <w:rPr>
          <w:rFonts w:hint="eastAsia" w:ascii="黑体" w:hAnsi="黑体" w:eastAsia="黑体" w:cs="黑体"/>
          <w:b/>
          <w:bCs/>
          <w:spacing w:val="-2"/>
          <w:sz w:val="24"/>
          <w:szCs w:val="24"/>
        </w:rPr>
        <w:t>液碱相对密度</w:t>
      </w:r>
      <w:r>
        <w:rPr>
          <w:rFonts w:hint="eastAsia" w:ascii="黑体" w:hAnsi="黑体" w:eastAsia="黑体" w:cs="黑体"/>
          <w:spacing w:val="-2"/>
          <w:sz w:val="24"/>
          <w:szCs w:val="24"/>
        </w:rPr>
        <w:t>（水=1</w:t>
      </w:r>
      <w:r>
        <w:rPr>
          <w:rFonts w:hint="eastAsia" w:ascii="黑体" w:hAnsi="黑体" w:eastAsia="黑体" w:cs="黑体"/>
          <w:spacing w:val="-47"/>
          <w:sz w:val="24"/>
          <w:szCs w:val="24"/>
        </w:rPr>
        <w:t>）：</w:t>
      </w:r>
      <w:r>
        <w:rPr>
          <w:rFonts w:hint="eastAsia" w:ascii="黑体" w:hAnsi="黑体" w:eastAsia="黑体" w:cs="黑体"/>
          <w:spacing w:val="-2"/>
          <w:sz w:val="24"/>
          <w:szCs w:val="24"/>
        </w:rPr>
        <w:t>2.13</w:t>
      </w:r>
    </w:p>
    <w:p w14:paraId="16FB054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" w:line="360" w:lineRule="auto"/>
        <w:ind w:left="39" w:firstLine="474" w:firstLineChars="200"/>
        <w:textAlignment w:val="baseline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spacing w:val="-2"/>
          <w:sz w:val="24"/>
          <w:szCs w:val="24"/>
        </w:rPr>
        <w:t>溶解性</w:t>
      </w:r>
      <w:r>
        <w:rPr>
          <w:rFonts w:hint="eastAsia" w:ascii="黑体" w:hAnsi="黑体" w:eastAsia="黑体" w:cs="黑体"/>
          <w:spacing w:val="-2"/>
          <w:sz w:val="24"/>
          <w:szCs w:val="24"/>
        </w:rPr>
        <w:t>：易溶于水、乙醇、甘油、不溶于丙酮、乙醚。</w:t>
      </w:r>
    </w:p>
    <w:p w14:paraId="66AC1D6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16" w:line="360" w:lineRule="auto"/>
        <w:ind w:left="70" w:right="6157" w:firstLine="474" w:firstLineChars="200"/>
        <w:textAlignment w:val="baseline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spacing w:val="-2"/>
          <w:sz w:val="24"/>
          <w:szCs w:val="24"/>
        </w:rPr>
        <w:t>辛醇/水分配系数</w:t>
      </w:r>
      <w:r>
        <w:rPr>
          <w:rFonts w:hint="eastAsia" w:ascii="黑体" w:hAnsi="黑体" w:eastAsia="黑体" w:cs="黑体"/>
          <w:spacing w:val="-2"/>
          <w:sz w:val="24"/>
          <w:szCs w:val="24"/>
        </w:rPr>
        <w:t>：-3.88</w:t>
      </w:r>
      <w:r>
        <w:rPr>
          <w:rFonts w:hint="eastAsia" w:ascii="黑体" w:hAnsi="黑体" w:eastAsia="黑体" w:cs="黑体"/>
          <w:b/>
          <w:bCs/>
          <w:spacing w:val="-1"/>
          <w:sz w:val="24"/>
          <w:szCs w:val="24"/>
        </w:rPr>
        <w:t>自燃温度</w:t>
      </w:r>
      <w:r>
        <w:rPr>
          <w:rFonts w:hint="eastAsia" w:ascii="黑体" w:hAnsi="黑体" w:eastAsia="黑体" w:cs="黑体"/>
          <w:b/>
          <w:bCs/>
          <w:spacing w:val="-48"/>
          <w:w w:val="86"/>
          <w:sz w:val="24"/>
          <w:szCs w:val="24"/>
        </w:rPr>
        <w:t>：</w:t>
      </w:r>
      <w:r>
        <w:rPr>
          <w:rFonts w:hint="eastAsia" w:ascii="黑体" w:hAnsi="黑体" w:eastAsia="黑体" w:cs="黑体"/>
          <w:spacing w:val="-48"/>
          <w:w w:val="86"/>
          <w:sz w:val="24"/>
          <w:szCs w:val="24"/>
        </w:rPr>
        <w:t>（</w:t>
      </w:r>
      <w:r>
        <w:rPr>
          <w:rFonts w:hint="eastAsia" w:ascii="黑体" w:hAnsi="黑体" w:eastAsia="黑体" w:cs="黑体"/>
          <w:spacing w:val="-1"/>
          <w:sz w:val="24"/>
          <w:szCs w:val="24"/>
        </w:rPr>
        <w:t>无意义）</w:t>
      </w:r>
    </w:p>
    <w:p w14:paraId="277BCEB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3" w:line="360" w:lineRule="auto"/>
        <w:ind w:left="39" w:firstLine="490" w:firstLineChars="200"/>
        <w:textAlignment w:val="baseline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spacing w:val="2"/>
          <w:sz w:val="24"/>
          <w:szCs w:val="24"/>
        </w:rPr>
        <w:t>分解温度</w:t>
      </w:r>
      <w:r>
        <w:rPr>
          <w:rFonts w:hint="eastAsia" w:ascii="黑体" w:hAnsi="黑体" w:eastAsia="黑体" w:cs="黑体"/>
          <w:b/>
          <w:bCs/>
          <w:spacing w:val="-49"/>
          <w:w w:val="88"/>
          <w:sz w:val="24"/>
          <w:szCs w:val="24"/>
        </w:rPr>
        <w:t>：</w:t>
      </w:r>
      <w:r>
        <w:rPr>
          <w:rFonts w:hint="eastAsia" w:ascii="黑体" w:hAnsi="黑体" w:eastAsia="黑体" w:cs="黑体"/>
          <w:spacing w:val="-49"/>
          <w:w w:val="88"/>
          <w:sz w:val="24"/>
          <w:szCs w:val="24"/>
        </w:rPr>
        <w:t>（</w:t>
      </w:r>
      <w:r>
        <w:rPr>
          <w:rFonts w:hint="eastAsia" w:ascii="黑体" w:hAnsi="黑体" w:eastAsia="黑体" w:cs="黑体"/>
          <w:spacing w:val="2"/>
          <w:sz w:val="24"/>
          <w:szCs w:val="24"/>
        </w:rPr>
        <w:t>无意义）</w:t>
      </w:r>
    </w:p>
    <w:p w14:paraId="2EF0C87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15" w:line="360" w:lineRule="auto"/>
        <w:ind w:left="39" w:firstLine="490" w:firstLineChars="200"/>
        <w:textAlignment w:val="baseline"/>
        <w:rPr>
          <w:rFonts w:hint="eastAsia" w:ascii="黑体" w:hAnsi="黑体" w:eastAsia="黑体" w:cs="黑体"/>
          <w:spacing w:val="2"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spacing w:val="2"/>
          <w:sz w:val="24"/>
          <w:szCs w:val="24"/>
        </w:rPr>
        <w:t>蒸发速率</w:t>
      </w:r>
      <w:r>
        <w:rPr>
          <w:rFonts w:hint="eastAsia" w:ascii="黑体" w:hAnsi="黑体" w:eastAsia="黑体" w:cs="黑体"/>
          <w:b/>
          <w:bCs/>
          <w:spacing w:val="-49"/>
          <w:w w:val="88"/>
          <w:sz w:val="24"/>
          <w:szCs w:val="24"/>
        </w:rPr>
        <w:t>：</w:t>
      </w:r>
      <w:r>
        <w:rPr>
          <w:rFonts w:hint="eastAsia" w:ascii="黑体" w:hAnsi="黑体" w:eastAsia="黑体" w:cs="黑体"/>
          <w:spacing w:val="-49"/>
          <w:w w:val="88"/>
          <w:sz w:val="24"/>
          <w:szCs w:val="24"/>
        </w:rPr>
        <w:t>（</w:t>
      </w:r>
      <w:r>
        <w:rPr>
          <w:rFonts w:hint="eastAsia" w:ascii="黑体" w:hAnsi="黑体" w:eastAsia="黑体" w:cs="黑体"/>
          <w:spacing w:val="2"/>
          <w:sz w:val="24"/>
          <w:szCs w:val="24"/>
        </w:rPr>
        <w:t>无意义）</w:t>
      </w:r>
    </w:p>
    <w:p w14:paraId="14A650B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15" w:line="360" w:lineRule="auto"/>
        <w:ind w:left="39" w:firstLine="466" w:firstLineChars="200"/>
        <w:textAlignment w:val="baseline"/>
        <w:rPr>
          <w:rFonts w:hint="eastAsia" w:ascii="黑体" w:hAnsi="黑体" w:eastAsia="黑体" w:cs="黑体"/>
          <w:spacing w:val="-4"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spacing w:val="-4"/>
          <w:sz w:val="24"/>
          <w:szCs w:val="24"/>
        </w:rPr>
        <w:t>易燃性：</w:t>
      </w:r>
      <w:r>
        <w:rPr>
          <w:rFonts w:hint="eastAsia" w:ascii="黑体" w:hAnsi="黑体" w:eastAsia="黑体" w:cs="黑体"/>
          <w:spacing w:val="-4"/>
          <w:sz w:val="24"/>
          <w:szCs w:val="24"/>
        </w:rPr>
        <w:t>不燃</w:t>
      </w:r>
    </w:p>
    <w:p w14:paraId="3D51291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18" w:line="360" w:lineRule="auto"/>
        <w:ind w:left="50" w:firstLine="486" w:firstLineChars="200"/>
        <w:textAlignment w:val="baseline"/>
        <w:rPr>
          <w:rFonts w:hint="eastAsia" w:ascii="黑体" w:hAnsi="黑体" w:eastAsia="黑体" w:cs="黑体"/>
          <w:spacing w:val="1"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spacing w:val="1"/>
          <w:sz w:val="24"/>
          <w:szCs w:val="24"/>
        </w:rPr>
        <w:t>燃烧热</w:t>
      </w:r>
      <w:r>
        <w:rPr>
          <w:rFonts w:hint="eastAsia" w:ascii="黑体" w:hAnsi="黑体" w:eastAsia="黑体" w:cs="黑体"/>
          <w:spacing w:val="1"/>
          <w:sz w:val="24"/>
          <w:szCs w:val="24"/>
        </w:rPr>
        <w:t>（</w:t>
      </w:r>
      <w:r>
        <w:rPr>
          <w:rFonts w:hint="eastAsia" w:ascii="黑体" w:hAnsi="黑体" w:eastAsia="黑体" w:cs="黑体"/>
          <w:b/>
          <w:bCs/>
          <w:sz w:val="24"/>
          <w:szCs w:val="24"/>
        </w:rPr>
        <w:t>kJ</w:t>
      </w:r>
      <w:r>
        <w:rPr>
          <w:rFonts w:hint="eastAsia" w:ascii="黑体" w:hAnsi="黑体" w:eastAsia="黑体" w:cs="黑体"/>
          <w:b/>
          <w:bCs/>
          <w:spacing w:val="1"/>
          <w:sz w:val="24"/>
          <w:szCs w:val="24"/>
        </w:rPr>
        <w:t>/</w:t>
      </w:r>
      <w:r>
        <w:rPr>
          <w:rFonts w:hint="eastAsia" w:ascii="黑体" w:hAnsi="黑体" w:eastAsia="黑体" w:cs="黑体"/>
          <w:b/>
          <w:bCs/>
          <w:sz w:val="24"/>
          <w:szCs w:val="24"/>
        </w:rPr>
        <w:t>mol</w:t>
      </w:r>
      <w:r>
        <w:rPr>
          <w:rFonts w:hint="eastAsia" w:ascii="黑体" w:hAnsi="黑体" w:eastAsia="黑体" w:cs="黑体"/>
          <w:spacing w:val="-49"/>
          <w:w w:val="85"/>
          <w:sz w:val="24"/>
          <w:szCs w:val="24"/>
        </w:rPr>
        <w:t>）：（</w:t>
      </w:r>
      <w:r>
        <w:rPr>
          <w:rFonts w:hint="eastAsia" w:ascii="黑体" w:hAnsi="黑体" w:eastAsia="黑体" w:cs="黑体"/>
          <w:spacing w:val="1"/>
          <w:sz w:val="24"/>
          <w:szCs w:val="24"/>
        </w:rPr>
        <w:t>无意义）</w:t>
      </w:r>
    </w:p>
    <w:p w14:paraId="7CC4133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8" w:line="360" w:lineRule="auto"/>
        <w:ind w:left="48" w:firstLine="478" w:firstLineChars="200"/>
        <w:textAlignment w:val="baseline"/>
        <w:rPr>
          <w:rFonts w:hint="eastAsia" w:ascii="黑体" w:hAnsi="黑体" w:eastAsia="黑体" w:cs="黑体"/>
          <w:spacing w:val="-1"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spacing w:val="-1"/>
          <w:sz w:val="24"/>
          <w:szCs w:val="24"/>
        </w:rPr>
        <w:t>临界温度</w:t>
      </w:r>
      <w:r>
        <w:rPr>
          <w:rFonts w:hint="eastAsia" w:ascii="黑体" w:hAnsi="黑体" w:eastAsia="黑体" w:cs="黑体"/>
          <w:spacing w:val="-1"/>
          <w:sz w:val="24"/>
          <w:szCs w:val="24"/>
        </w:rPr>
        <w:t xml:space="preserve"> (℃)</w:t>
      </w:r>
      <w:r>
        <w:rPr>
          <w:rFonts w:hint="eastAsia" w:ascii="黑体" w:hAnsi="黑体" w:eastAsia="黑体" w:cs="黑体"/>
          <w:spacing w:val="-55"/>
          <w:w w:val="98"/>
          <w:sz w:val="24"/>
          <w:szCs w:val="24"/>
        </w:rPr>
        <w:t>：（</w:t>
      </w:r>
      <w:r>
        <w:rPr>
          <w:rFonts w:hint="eastAsia" w:ascii="黑体" w:hAnsi="黑体" w:eastAsia="黑体" w:cs="黑体"/>
          <w:spacing w:val="-1"/>
          <w:sz w:val="24"/>
          <w:szCs w:val="24"/>
        </w:rPr>
        <w:t>无意义）</w:t>
      </w:r>
    </w:p>
    <w:p w14:paraId="26BCFE2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8" w:line="360" w:lineRule="auto"/>
        <w:ind w:left="48" w:firstLine="470" w:firstLineChars="200"/>
        <w:textAlignment w:val="baseline"/>
        <w:rPr>
          <w:rFonts w:hint="eastAsia" w:ascii="黑体" w:hAnsi="黑体" w:eastAsia="黑体" w:cs="黑体"/>
          <w:spacing w:val="-3"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spacing w:val="-3"/>
          <w:sz w:val="24"/>
          <w:szCs w:val="24"/>
        </w:rPr>
        <w:t>临界压力（MPa</w:t>
      </w:r>
      <w:r>
        <w:rPr>
          <w:rFonts w:hint="eastAsia" w:ascii="黑体" w:hAnsi="黑体" w:eastAsia="黑体" w:cs="黑体"/>
          <w:b/>
          <w:bCs/>
          <w:spacing w:val="-51"/>
          <w:sz w:val="24"/>
          <w:szCs w:val="24"/>
        </w:rPr>
        <w:t>）</w:t>
      </w:r>
      <w:r>
        <w:rPr>
          <w:rFonts w:hint="eastAsia" w:ascii="黑体" w:hAnsi="黑体" w:eastAsia="黑体" w:cs="黑体"/>
          <w:spacing w:val="-51"/>
          <w:sz w:val="24"/>
          <w:szCs w:val="24"/>
        </w:rPr>
        <w:t>：</w:t>
      </w:r>
      <w:r>
        <w:rPr>
          <w:rFonts w:hint="eastAsia" w:ascii="黑体" w:hAnsi="黑体" w:eastAsia="黑体" w:cs="黑体"/>
          <w:spacing w:val="-3"/>
          <w:sz w:val="24"/>
          <w:szCs w:val="24"/>
        </w:rPr>
        <w:t>25</w:t>
      </w:r>
    </w:p>
    <w:p w14:paraId="7C7390A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8" w:line="360" w:lineRule="auto"/>
        <w:ind w:left="48" w:firstLine="482" w:firstLineChars="200"/>
        <w:textAlignment w:val="baseline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sz w:val="24"/>
          <w:szCs w:val="24"/>
        </w:rPr>
        <w:t>引燃温度</w:t>
      </w:r>
      <w:r>
        <w:rPr>
          <w:rFonts w:hint="eastAsia" w:ascii="黑体" w:hAnsi="黑体" w:eastAsia="黑体" w:cs="黑体"/>
          <w:sz w:val="24"/>
          <w:szCs w:val="24"/>
        </w:rPr>
        <w:t>(℃)</w:t>
      </w:r>
      <w:r>
        <w:rPr>
          <w:rFonts w:hint="eastAsia" w:ascii="黑体" w:hAnsi="黑体" w:eastAsia="黑体" w:cs="黑体"/>
          <w:spacing w:val="-52"/>
          <w:w w:val="93"/>
          <w:sz w:val="24"/>
          <w:szCs w:val="24"/>
        </w:rPr>
        <w:t>：（</w:t>
      </w:r>
      <w:r>
        <w:rPr>
          <w:rFonts w:hint="eastAsia" w:ascii="黑体" w:hAnsi="黑体" w:eastAsia="黑体" w:cs="黑体"/>
          <w:sz w:val="24"/>
          <w:szCs w:val="24"/>
        </w:rPr>
        <w:t>无意义）</w:t>
      </w:r>
    </w:p>
    <w:p w14:paraId="440A013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8" w:line="360" w:lineRule="auto"/>
        <w:ind w:left="48" w:firstLine="478" w:firstLineChars="200"/>
        <w:textAlignment w:val="baseline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spacing w:val="-1"/>
          <w:sz w:val="24"/>
          <w:szCs w:val="24"/>
        </w:rPr>
        <w:t>其他理化性质：</w:t>
      </w:r>
      <w:r>
        <w:rPr>
          <w:rFonts w:hint="eastAsia" w:ascii="黑体" w:hAnsi="黑体" w:eastAsia="黑体" w:cs="黑体"/>
          <w:spacing w:val="-1"/>
          <w:sz w:val="24"/>
          <w:szCs w:val="24"/>
        </w:rPr>
        <w:t>无</w:t>
      </w:r>
    </w:p>
    <w:p w14:paraId="367461F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59" w:line="360" w:lineRule="auto"/>
        <w:jc w:val="center"/>
        <w:textAlignment w:val="baseline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spacing w:val="-2"/>
          <w:sz w:val="24"/>
          <w:szCs w:val="24"/>
        </w:rPr>
        <w:t>第十部分</w:t>
      </w:r>
      <w:r>
        <w:rPr>
          <w:rFonts w:hint="eastAsia" w:ascii="黑体" w:hAnsi="黑体" w:eastAsia="黑体" w:cs="黑体"/>
          <w:spacing w:val="-2"/>
          <w:sz w:val="24"/>
          <w:szCs w:val="24"/>
        </w:rPr>
        <w:t xml:space="preserve">     </w:t>
      </w:r>
      <w:r>
        <w:rPr>
          <w:rFonts w:hint="eastAsia" w:ascii="黑体" w:hAnsi="黑体" w:eastAsia="黑体" w:cs="黑体"/>
          <w:b/>
          <w:bCs/>
          <w:spacing w:val="-2"/>
          <w:sz w:val="24"/>
          <w:szCs w:val="24"/>
        </w:rPr>
        <w:t>稳定性和反应性</w:t>
      </w:r>
    </w:p>
    <w:p w14:paraId="7B67F86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47" w:line="360" w:lineRule="auto"/>
        <w:ind w:left="37" w:firstLine="466" w:firstLineChars="200"/>
        <w:textAlignment w:val="baseline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spacing w:val="-4"/>
          <w:sz w:val="24"/>
          <w:szCs w:val="24"/>
        </w:rPr>
        <w:t>稳定性</w:t>
      </w:r>
      <w:r>
        <w:rPr>
          <w:rFonts w:hint="eastAsia" w:ascii="黑体" w:hAnsi="黑体" w:eastAsia="黑体" w:cs="黑体"/>
          <w:spacing w:val="-4"/>
          <w:sz w:val="24"/>
          <w:szCs w:val="24"/>
        </w:rPr>
        <w:t>：稳定</w:t>
      </w:r>
    </w:p>
    <w:p w14:paraId="2D5B83E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16" w:line="360" w:lineRule="auto"/>
        <w:ind w:left="39" w:firstLine="478" w:firstLineChars="200"/>
        <w:textAlignment w:val="baseline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spacing w:val="-1"/>
          <w:sz w:val="24"/>
          <w:szCs w:val="24"/>
        </w:rPr>
        <w:t>危险反应：</w:t>
      </w:r>
      <w:r>
        <w:rPr>
          <w:rFonts w:hint="eastAsia" w:ascii="黑体" w:hAnsi="黑体" w:eastAsia="黑体" w:cs="黑体"/>
          <w:spacing w:val="-1"/>
          <w:sz w:val="24"/>
          <w:szCs w:val="24"/>
        </w:rPr>
        <w:t>与酸类等禁配物发生反应</w:t>
      </w:r>
    </w:p>
    <w:p w14:paraId="6EC8821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18" w:line="360" w:lineRule="auto"/>
        <w:ind w:left="35" w:firstLine="470" w:firstLineChars="200"/>
        <w:textAlignment w:val="baseline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spacing w:val="-3"/>
          <w:sz w:val="24"/>
          <w:szCs w:val="24"/>
        </w:rPr>
        <w:t>避免接触的条件</w:t>
      </w:r>
      <w:r>
        <w:rPr>
          <w:rFonts w:hint="eastAsia" w:ascii="黑体" w:hAnsi="黑体" w:eastAsia="黑体" w:cs="黑体"/>
          <w:spacing w:val="-3"/>
          <w:sz w:val="24"/>
          <w:szCs w:val="24"/>
        </w:rPr>
        <w:t>：撞击。</w:t>
      </w:r>
    </w:p>
    <w:p w14:paraId="67582B0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17" w:line="360" w:lineRule="auto"/>
        <w:ind w:left="37" w:firstLine="478" w:firstLineChars="200"/>
        <w:textAlignment w:val="baseline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spacing w:val="-1"/>
          <w:sz w:val="24"/>
          <w:szCs w:val="24"/>
        </w:rPr>
        <w:t>禁配物</w:t>
      </w:r>
      <w:r>
        <w:rPr>
          <w:rFonts w:hint="eastAsia" w:ascii="黑体" w:hAnsi="黑体" w:eastAsia="黑体" w:cs="黑体"/>
          <w:spacing w:val="-1"/>
          <w:sz w:val="24"/>
          <w:szCs w:val="24"/>
        </w:rPr>
        <w:t>：酸类、易燃或可燃物、二氧化碳、过氧化物。</w:t>
      </w:r>
    </w:p>
    <w:p w14:paraId="10DCC5E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17" w:line="360" w:lineRule="auto"/>
        <w:ind w:left="39" w:firstLine="474" w:firstLineChars="200"/>
        <w:textAlignment w:val="baseline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spacing w:val="-2"/>
          <w:sz w:val="24"/>
          <w:szCs w:val="24"/>
        </w:rPr>
        <w:t>危险的分解产物</w:t>
      </w:r>
      <w:r>
        <w:rPr>
          <w:rFonts w:hint="eastAsia" w:ascii="黑体" w:hAnsi="黑体" w:eastAsia="黑体" w:cs="黑体"/>
          <w:spacing w:val="-2"/>
          <w:sz w:val="24"/>
          <w:szCs w:val="24"/>
        </w:rPr>
        <w:t>：氧化钠。</w:t>
      </w:r>
    </w:p>
    <w:p w14:paraId="3BF787C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62" w:line="360" w:lineRule="auto"/>
        <w:jc w:val="center"/>
        <w:textAlignment w:val="baseline"/>
        <w:outlineLvl w:val="0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spacing w:val="-2"/>
          <w:sz w:val="24"/>
          <w:szCs w:val="24"/>
        </w:rPr>
        <w:t>第十一部分</w:t>
      </w:r>
      <w:r>
        <w:rPr>
          <w:rFonts w:hint="eastAsia" w:ascii="黑体" w:hAnsi="黑体" w:eastAsia="黑体" w:cs="黑体"/>
          <w:spacing w:val="-2"/>
          <w:sz w:val="24"/>
          <w:szCs w:val="24"/>
        </w:rPr>
        <w:t xml:space="preserve">     </w:t>
      </w:r>
      <w:r>
        <w:rPr>
          <w:rFonts w:hint="eastAsia" w:ascii="黑体" w:hAnsi="黑体" w:eastAsia="黑体" w:cs="黑体"/>
          <w:b/>
          <w:bCs/>
          <w:spacing w:val="-2"/>
          <w:sz w:val="24"/>
          <w:szCs w:val="24"/>
        </w:rPr>
        <w:t>毒理学信息</w:t>
      </w:r>
    </w:p>
    <w:p w14:paraId="57B7FCD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46" w:line="360" w:lineRule="auto"/>
        <w:ind w:left="43" w:firstLine="478" w:firstLineChars="200"/>
        <w:textAlignment w:val="baseline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spacing w:val="-1"/>
          <w:sz w:val="24"/>
          <w:szCs w:val="24"/>
        </w:rPr>
        <w:t>急性毒性：</w:t>
      </w:r>
      <w:r>
        <w:rPr>
          <w:rFonts w:hint="eastAsia" w:ascii="黑体" w:hAnsi="黑体" w:eastAsia="黑体" w:cs="黑体"/>
          <w:spacing w:val="-1"/>
          <w:sz w:val="24"/>
          <w:szCs w:val="24"/>
        </w:rPr>
        <w:t>LD</w:t>
      </w:r>
      <w:r>
        <w:rPr>
          <w:rFonts w:hint="eastAsia" w:ascii="黑体" w:hAnsi="黑体" w:eastAsia="黑体" w:cs="黑体"/>
          <w:spacing w:val="-1"/>
          <w:position w:val="-1"/>
          <w:sz w:val="24"/>
          <w:szCs w:val="24"/>
        </w:rPr>
        <w:t xml:space="preserve">50    </w:t>
      </w:r>
      <w:r>
        <w:rPr>
          <w:rFonts w:hint="eastAsia" w:ascii="黑体" w:hAnsi="黑体" w:eastAsia="黑体" w:cs="黑体"/>
          <w:spacing w:val="-1"/>
          <w:sz w:val="24"/>
          <w:szCs w:val="24"/>
        </w:rPr>
        <w:t>：40mg/kg(小鼠腹腔)        LDLo</w:t>
      </w:r>
      <w:r>
        <w:rPr>
          <w:rFonts w:hint="eastAsia" w:ascii="黑体" w:hAnsi="黑体" w:eastAsia="黑体" w:cs="黑体"/>
          <w:spacing w:val="25"/>
          <w:sz w:val="24"/>
          <w:szCs w:val="24"/>
        </w:rPr>
        <w:t xml:space="preserve"> </w:t>
      </w:r>
      <w:r>
        <w:rPr>
          <w:rFonts w:hint="eastAsia" w:ascii="黑体" w:hAnsi="黑体" w:eastAsia="黑体" w:cs="黑体"/>
          <w:spacing w:val="-1"/>
          <w:sz w:val="24"/>
          <w:szCs w:val="24"/>
        </w:rPr>
        <w:t>1.57mg / kg (人经</w:t>
      </w:r>
      <w:r>
        <w:rPr>
          <w:rFonts w:hint="eastAsia" w:ascii="黑体" w:hAnsi="黑体" w:eastAsia="黑体" w:cs="黑体"/>
          <w:spacing w:val="-2"/>
          <w:sz w:val="24"/>
          <w:szCs w:val="24"/>
        </w:rPr>
        <w:t>口)</w:t>
      </w:r>
    </w:p>
    <w:p w14:paraId="7102596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22" w:line="360" w:lineRule="auto"/>
        <w:ind w:left="40" w:firstLine="474" w:firstLineChars="200"/>
        <w:textAlignment w:val="baseline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spacing w:val="-2"/>
          <w:sz w:val="24"/>
          <w:szCs w:val="24"/>
        </w:rPr>
        <w:t>皮肤刺激或腐蚀：</w:t>
      </w:r>
      <w:r>
        <w:rPr>
          <w:rFonts w:hint="eastAsia" w:ascii="黑体" w:hAnsi="黑体" w:eastAsia="黑体" w:cs="黑体"/>
          <w:spacing w:val="-2"/>
          <w:sz w:val="24"/>
          <w:szCs w:val="24"/>
        </w:rPr>
        <w:t>家兔经皮：50mg/24</w:t>
      </w:r>
      <w:r>
        <w:rPr>
          <w:rFonts w:hint="eastAsia" w:ascii="黑体" w:hAnsi="黑体" w:eastAsia="黑体" w:cs="黑体"/>
          <w:spacing w:val="16"/>
          <w:sz w:val="24"/>
          <w:szCs w:val="24"/>
        </w:rPr>
        <w:t xml:space="preserve"> </w:t>
      </w:r>
      <w:r>
        <w:rPr>
          <w:rFonts w:hint="eastAsia" w:ascii="黑体" w:hAnsi="黑体" w:eastAsia="黑体" w:cs="黑体"/>
          <w:spacing w:val="-2"/>
          <w:sz w:val="24"/>
          <w:szCs w:val="24"/>
        </w:rPr>
        <w:t>小时，重度刺激。</w:t>
      </w:r>
    </w:p>
    <w:p w14:paraId="7962AA2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26" w:line="360" w:lineRule="auto"/>
        <w:ind w:left="50" w:firstLine="474" w:firstLineChars="200"/>
        <w:textAlignment w:val="baseline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spacing w:val="-2"/>
          <w:sz w:val="24"/>
          <w:szCs w:val="24"/>
        </w:rPr>
        <w:t>眼睛刺激或腐蚀：</w:t>
      </w:r>
      <w:r>
        <w:rPr>
          <w:rFonts w:hint="eastAsia" w:ascii="黑体" w:hAnsi="黑体" w:eastAsia="黑体" w:cs="黑体"/>
          <w:spacing w:val="-2"/>
          <w:sz w:val="24"/>
          <w:szCs w:val="24"/>
        </w:rPr>
        <w:t>家兔经眼：1%重度刺激。</w:t>
      </w:r>
    </w:p>
    <w:p w14:paraId="6770AEF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01" w:line="360" w:lineRule="auto"/>
        <w:ind w:left="48" w:firstLine="486" w:firstLineChars="200"/>
        <w:textAlignment w:val="baseline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spacing w:val="1"/>
          <w:sz w:val="24"/>
          <w:szCs w:val="24"/>
        </w:rPr>
        <w:t>呼吸或皮肤过敏</w:t>
      </w:r>
      <w:r>
        <w:rPr>
          <w:rFonts w:hint="eastAsia" w:ascii="黑体" w:hAnsi="黑体" w:eastAsia="黑体" w:cs="黑体"/>
          <w:b/>
          <w:bCs/>
          <w:spacing w:val="-49"/>
          <w:w w:val="88"/>
          <w:sz w:val="24"/>
          <w:szCs w:val="24"/>
        </w:rPr>
        <w:t>：</w:t>
      </w:r>
      <w:r>
        <w:rPr>
          <w:rFonts w:hint="eastAsia" w:ascii="黑体" w:hAnsi="黑体" w:eastAsia="黑体" w:cs="黑体"/>
          <w:spacing w:val="-49"/>
          <w:w w:val="88"/>
          <w:sz w:val="24"/>
          <w:szCs w:val="24"/>
        </w:rPr>
        <w:t>（</w:t>
      </w:r>
      <w:r>
        <w:rPr>
          <w:rFonts w:hint="eastAsia" w:ascii="黑体" w:hAnsi="黑体" w:eastAsia="黑体" w:cs="黑体"/>
          <w:spacing w:val="1"/>
          <w:sz w:val="24"/>
          <w:szCs w:val="24"/>
        </w:rPr>
        <w:t>无资料）</w:t>
      </w:r>
    </w:p>
    <w:p w14:paraId="6B7C041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18" w:line="360" w:lineRule="auto"/>
        <w:ind w:left="38" w:firstLine="486" w:firstLineChars="200"/>
        <w:textAlignment w:val="baseline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spacing w:val="1"/>
          <w:sz w:val="24"/>
          <w:szCs w:val="24"/>
        </w:rPr>
        <w:t>生殖细胞致突变性</w:t>
      </w:r>
      <w:r>
        <w:rPr>
          <w:rFonts w:hint="eastAsia" w:ascii="黑体" w:hAnsi="黑体" w:eastAsia="黑体" w:cs="黑体"/>
          <w:b/>
          <w:bCs/>
          <w:spacing w:val="-49"/>
          <w:w w:val="88"/>
          <w:sz w:val="24"/>
          <w:szCs w:val="24"/>
        </w:rPr>
        <w:t>：</w:t>
      </w:r>
      <w:r>
        <w:rPr>
          <w:rFonts w:hint="eastAsia" w:ascii="黑体" w:hAnsi="黑体" w:eastAsia="黑体" w:cs="黑体"/>
          <w:spacing w:val="-49"/>
          <w:w w:val="88"/>
          <w:sz w:val="24"/>
          <w:szCs w:val="24"/>
        </w:rPr>
        <w:t>（</w:t>
      </w:r>
      <w:r>
        <w:rPr>
          <w:rFonts w:hint="eastAsia" w:ascii="黑体" w:hAnsi="黑体" w:eastAsia="黑体" w:cs="黑体"/>
          <w:spacing w:val="1"/>
          <w:sz w:val="24"/>
          <w:szCs w:val="24"/>
        </w:rPr>
        <w:t>无资料）</w:t>
      </w:r>
    </w:p>
    <w:p w14:paraId="17F6AE6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16" w:line="360" w:lineRule="auto"/>
        <w:ind w:left="37" w:firstLine="494" w:firstLineChars="200"/>
        <w:textAlignment w:val="baseline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spacing w:val="3"/>
          <w:sz w:val="24"/>
          <w:szCs w:val="24"/>
        </w:rPr>
        <w:t>致癌性</w:t>
      </w:r>
      <w:r>
        <w:rPr>
          <w:rFonts w:hint="eastAsia" w:ascii="黑体" w:hAnsi="黑体" w:eastAsia="黑体" w:cs="黑体"/>
          <w:b/>
          <w:bCs/>
          <w:spacing w:val="-49"/>
          <w:w w:val="88"/>
          <w:sz w:val="24"/>
          <w:szCs w:val="24"/>
        </w:rPr>
        <w:t>：</w:t>
      </w:r>
      <w:r>
        <w:rPr>
          <w:rFonts w:hint="eastAsia" w:ascii="黑体" w:hAnsi="黑体" w:eastAsia="黑体" w:cs="黑体"/>
          <w:spacing w:val="-49"/>
          <w:w w:val="88"/>
          <w:sz w:val="24"/>
          <w:szCs w:val="24"/>
        </w:rPr>
        <w:t>（</w:t>
      </w:r>
      <w:r>
        <w:rPr>
          <w:rFonts w:hint="eastAsia" w:ascii="黑体" w:hAnsi="黑体" w:eastAsia="黑体" w:cs="黑体"/>
          <w:spacing w:val="3"/>
          <w:sz w:val="24"/>
          <w:szCs w:val="24"/>
        </w:rPr>
        <w:t>无资料）</w:t>
      </w:r>
    </w:p>
    <w:p w14:paraId="66B71E9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16" w:line="360" w:lineRule="auto"/>
        <w:ind w:left="38" w:firstLine="490" w:firstLineChars="200"/>
        <w:textAlignment w:val="baseline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spacing w:val="2"/>
          <w:sz w:val="24"/>
          <w:szCs w:val="24"/>
        </w:rPr>
        <w:t>生殖毒性</w:t>
      </w:r>
      <w:r>
        <w:rPr>
          <w:rFonts w:hint="eastAsia" w:ascii="黑体" w:hAnsi="黑体" w:eastAsia="黑体" w:cs="黑体"/>
          <w:b/>
          <w:bCs/>
          <w:spacing w:val="-50"/>
          <w:w w:val="89"/>
          <w:sz w:val="24"/>
          <w:szCs w:val="24"/>
        </w:rPr>
        <w:t>：</w:t>
      </w:r>
      <w:r>
        <w:rPr>
          <w:rFonts w:hint="eastAsia" w:ascii="黑体" w:hAnsi="黑体" w:eastAsia="黑体" w:cs="黑体"/>
          <w:spacing w:val="-50"/>
          <w:w w:val="89"/>
          <w:sz w:val="24"/>
          <w:szCs w:val="24"/>
        </w:rPr>
        <w:t>（</w:t>
      </w:r>
      <w:r>
        <w:rPr>
          <w:rFonts w:hint="eastAsia" w:ascii="黑体" w:hAnsi="黑体" w:eastAsia="黑体" w:cs="黑体"/>
          <w:spacing w:val="2"/>
          <w:sz w:val="24"/>
          <w:szCs w:val="24"/>
        </w:rPr>
        <w:t>无资料）</w:t>
      </w:r>
    </w:p>
    <w:p w14:paraId="30F5D51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17" w:line="360" w:lineRule="auto"/>
        <w:ind w:left="37" w:firstLine="482" w:firstLineChars="200"/>
        <w:textAlignment w:val="baseline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sz w:val="24"/>
          <w:szCs w:val="24"/>
        </w:rPr>
        <w:t>特异性靶器官系统毒性--一次性接触</w:t>
      </w:r>
      <w:r>
        <w:rPr>
          <w:rFonts w:hint="eastAsia" w:ascii="黑体" w:hAnsi="黑体" w:eastAsia="黑体" w:cs="黑体"/>
          <w:b/>
          <w:bCs/>
          <w:spacing w:val="-50"/>
          <w:w w:val="90"/>
          <w:sz w:val="24"/>
          <w:szCs w:val="24"/>
        </w:rPr>
        <w:t>：</w:t>
      </w:r>
      <w:r>
        <w:rPr>
          <w:rFonts w:hint="eastAsia" w:ascii="黑体" w:hAnsi="黑体" w:eastAsia="黑体" w:cs="黑体"/>
          <w:spacing w:val="-50"/>
          <w:w w:val="90"/>
          <w:sz w:val="24"/>
          <w:szCs w:val="24"/>
        </w:rPr>
        <w:t>（</w:t>
      </w:r>
      <w:r>
        <w:rPr>
          <w:rFonts w:hint="eastAsia" w:ascii="黑体" w:hAnsi="黑体" w:eastAsia="黑体" w:cs="黑体"/>
          <w:sz w:val="24"/>
          <w:szCs w:val="24"/>
        </w:rPr>
        <w:t>无资料）</w:t>
      </w:r>
    </w:p>
    <w:p w14:paraId="306F3EC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18" w:line="360" w:lineRule="auto"/>
        <w:ind w:left="37" w:firstLine="482" w:firstLineChars="200"/>
        <w:textAlignment w:val="baseline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sz w:val="24"/>
          <w:szCs w:val="24"/>
        </w:rPr>
        <w:t>特异性靶器官系统毒性--反复接触</w:t>
      </w:r>
      <w:r>
        <w:rPr>
          <w:rFonts w:hint="eastAsia" w:ascii="黑体" w:hAnsi="黑体" w:eastAsia="黑体" w:cs="黑体"/>
          <w:b/>
          <w:bCs/>
          <w:spacing w:val="-50"/>
          <w:w w:val="90"/>
          <w:sz w:val="24"/>
          <w:szCs w:val="24"/>
        </w:rPr>
        <w:t>：</w:t>
      </w:r>
      <w:r>
        <w:rPr>
          <w:rFonts w:hint="eastAsia" w:ascii="黑体" w:hAnsi="黑体" w:eastAsia="黑体" w:cs="黑体"/>
          <w:spacing w:val="-50"/>
          <w:w w:val="90"/>
          <w:sz w:val="24"/>
          <w:szCs w:val="24"/>
        </w:rPr>
        <w:t>（</w:t>
      </w:r>
      <w:r>
        <w:rPr>
          <w:rFonts w:hint="eastAsia" w:ascii="黑体" w:hAnsi="黑体" w:eastAsia="黑体" w:cs="黑体"/>
          <w:sz w:val="24"/>
          <w:szCs w:val="24"/>
        </w:rPr>
        <w:t>无资料）</w:t>
      </w:r>
    </w:p>
    <w:p w14:paraId="1E67001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19" w:line="360" w:lineRule="auto"/>
        <w:ind w:left="45" w:firstLine="490" w:firstLineChars="200"/>
        <w:textAlignment w:val="baseline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spacing w:val="2"/>
          <w:sz w:val="24"/>
          <w:szCs w:val="24"/>
        </w:rPr>
        <w:t>吸入危害</w:t>
      </w:r>
      <w:r>
        <w:rPr>
          <w:rFonts w:hint="eastAsia" w:ascii="黑体" w:hAnsi="黑体" w:eastAsia="黑体" w:cs="黑体"/>
          <w:b/>
          <w:bCs/>
          <w:spacing w:val="-49"/>
          <w:w w:val="87"/>
          <w:sz w:val="24"/>
          <w:szCs w:val="24"/>
        </w:rPr>
        <w:t>：</w:t>
      </w:r>
      <w:r>
        <w:rPr>
          <w:rFonts w:hint="eastAsia" w:ascii="黑体" w:hAnsi="黑体" w:eastAsia="黑体" w:cs="黑体"/>
          <w:spacing w:val="-49"/>
          <w:w w:val="87"/>
          <w:sz w:val="24"/>
          <w:szCs w:val="24"/>
        </w:rPr>
        <w:t>（</w:t>
      </w:r>
      <w:r>
        <w:rPr>
          <w:rFonts w:hint="eastAsia" w:ascii="黑体" w:hAnsi="黑体" w:eastAsia="黑体" w:cs="黑体"/>
          <w:spacing w:val="2"/>
          <w:sz w:val="24"/>
          <w:szCs w:val="24"/>
        </w:rPr>
        <w:t>无资料）</w:t>
      </w:r>
    </w:p>
    <w:p w14:paraId="0D71CCD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59" w:line="360" w:lineRule="auto"/>
        <w:ind w:left="2740" w:firstLine="474" w:firstLineChars="200"/>
        <w:textAlignment w:val="baseline"/>
        <w:outlineLvl w:val="0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spacing w:val="-2"/>
          <w:sz w:val="24"/>
          <w:szCs w:val="24"/>
        </w:rPr>
        <w:t>第十二部分</w:t>
      </w:r>
      <w:r>
        <w:rPr>
          <w:rFonts w:hint="eastAsia" w:ascii="黑体" w:hAnsi="黑体" w:eastAsia="黑体" w:cs="黑体"/>
          <w:spacing w:val="-2"/>
          <w:sz w:val="24"/>
          <w:szCs w:val="24"/>
        </w:rPr>
        <w:t xml:space="preserve">     </w:t>
      </w:r>
      <w:r>
        <w:rPr>
          <w:rFonts w:hint="eastAsia" w:ascii="黑体" w:hAnsi="黑体" w:eastAsia="黑体" w:cs="黑体"/>
          <w:b/>
          <w:bCs/>
          <w:spacing w:val="-2"/>
          <w:sz w:val="24"/>
          <w:szCs w:val="24"/>
        </w:rPr>
        <w:t>生态学信息</w:t>
      </w:r>
    </w:p>
    <w:p w14:paraId="75367E3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47" w:line="360" w:lineRule="auto"/>
        <w:ind w:left="38" w:firstLine="478" w:firstLineChars="200"/>
        <w:textAlignment w:val="baseline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spacing w:val="-1"/>
          <w:sz w:val="24"/>
          <w:szCs w:val="24"/>
        </w:rPr>
        <w:t>生态毒性</w:t>
      </w:r>
      <w:r>
        <w:rPr>
          <w:rFonts w:hint="eastAsia" w:ascii="黑体" w:hAnsi="黑体" w:eastAsia="黑体" w:cs="黑体"/>
          <w:spacing w:val="-1"/>
          <w:sz w:val="24"/>
          <w:szCs w:val="24"/>
        </w:rPr>
        <w:t>：LC</w:t>
      </w:r>
      <w:r>
        <w:rPr>
          <w:rFonts w:hint="eastAsia" w:ascii="黑体" w:hAnsi="黑体" w:eastAsia="黑体" w:cs="黑体"/>
          <w:spacing w:val="-1"/>
          <w:position w:val="-1"/>
          <w:sz w:val="24"/>
          <w:szCs w:val="24"/>
        </w:rPr>
        <w:t>50</w:t>
      </w:r>
      <w:r>
        <w:rPr>
          <w:rFonts w:hint="eastAsia" w:ascii="黑体" w:hAnsi="黑体" w:eastAsia="黑体" w:cs="黑体"/>
          <w:spacing w:val="-6"/>
          <w:position w:val="-1"/>
          <w:sz w:val="24"/>
          <w:szCs w:val="24"/>
        </w:rPr>
        <w:t xml:space="preserve"> </w:t>
      </w:r>
      <w:r>
        <w:rPr>
          <w:rFonts w:hint="eastAsia" w:ascii="黑体" w:hAnsi="黑体" w:eastAsia="黑体" w:cs="黑体"/>
          <w:spacing w:val="-1"/>
          <w:sz w:val="24"/>
          <w:szCs w:val="24"/>
        </w:rPr>
        <w:t>：180 mg/L (24 小时)      （鲤鱼）</w:t>
      </w:r>
    </w:p>
    <w:p w14:paraId="629B0F6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22" w:line="360" w:lineRule="auto"/>
        <w:ind w:left="1112" w:firstLine="472" w:firstLineChars="200"/>
        <w:textAlignment w:val="baseline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pacing w:val="-2"/>
          <w:sz w:val="24"/>
          <w:szCs w:val="24"/>
        </w:rPr>
        <w:t>TLm：125 ppm (96</w:t>
      </w:r>
      <w:r>
        <w:rPr>
          <w:rFonts w:hint="eastAsia" w:ascii="黑体" w:hAnsi="黑体" w:eastAsia="黑体" w:cs="黑体"/>
          <w:spacing w:val="14"/>
          <w:sz w:val="24"/>
          <w:szCs w:val="24"/>
        </w:rPr>
        <w:t xml:space="preserve"> </w:t>
      </w:r>
      <w:r>
        <w:rPr>
          <w:rFonts w:hint="eastAsia" w:ascii="黑体" w:hAnsi="黑体" w:eastAsia="黑体" w:cs="黑体"/>
          <w:spacing w:val="-2"/>
          <w:sz w:val="24"/>
          <w:szCs w:val="24"/>
        </w:rPr>
        <w:t>小时)      （食蚊鱼</w:t>
      </w:r>
      <w:r>
        <w:rPr>
          <w:rFonts w:hint="eastAsia" w:ascii="黑体" w:hAnsi="黑体" w:eastAsia="黑体" w:cs="黑体"/>
          <w:spacing w:val="-8"/>
          <w:sz w:val="24"/>
          <w:szCs w:val="24"/>
        </w:rPr>
        <w:t>）；</w:t>
      </w:r>
      <w:r>
        <w:rPr>
          <w:rFonts w:hint="eastAsia" w:ascii="黑体" w:hAnsi="黑体" w:eastAsia="黑体" w:cs="黑体"/>
          <w:spacing w:val="-2"/>
          <w:sz w:val="24"/>
          <w:szCs w:val="24"/>
        </w:rPr>
        <w:t xml:space="preserve">99mg/L </w:t>
      </w:r>
      <w:r>
        <w:rPr>
          <w:rFonts w:hint="eastAsia" w:ascii="黑体" w:hAnsi="黑体" w:eastAsia="黑体" w:cs="黑体"/>
          <w:spacing w:val="-3"/>
          <w:sz w:val="24"/>
          <w:szCs w:val="24"/>
        </w:rPr>
        <w:t xml:space="preserve">   (48</w:t>
      </w:r>
      <w:r>
        <w:rPr>
          <w:rFonts w:hint="eastAsia" w:ascii="黑体" w:hAnsi="黑体" w:eastAsia="黑体" w:cs="黑体"/>
          <w:spacing w:val="14"/>
          <w:sz w:val="24"/>
          <w:szCs w:val="24"/>
        </w:rPr>
        <w:t xml:space="preserve"> </w:t>
      </w:r>
      <w:r>
        <w:rPr>
          <w:rFonts w:hint="eastAsia" w:ascii="黑体" w:hAnsi="黑体" w:eastAsia="黑体" w:cs="黑体"/>
          <w:spacing w:val="-3"/>
          <w:sz w:val="24"/>
          <w:szCs w:val="24"/>
        </w:rPr>
        <w:t>小时)      （蓝鳃太阳鱼）</w:t>
      </w:r>
    </w:p>
    <w:p w14:paraId="49FE476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25" w:line="360" w:lineRule="auto"/>
        <w:ind w:left="39" w:firstLine="470" w:firstLineChars="200"/>
        <w:textAlignment w:val="baseline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spacing w:val="-3"/>
          <w:sz w:val="24"/>
          <w:szCs w:val="24"/>
        </w:rPr>
        <w:t>持久性和降解性</w:t>
      </w:r>
    </w:p>
    <w:p w14:paraId="5AF36E5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16" w:line="360" w:lineRule="auto"/>
        <w:ind w:left="38" w:firstLine="474" w:firstLineChars="200"/>
        <w:textAlignment w:val="baseline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spacing w:val="-2"/>
          <w:sz w:val="24"/>
          <w:szCs w:val="24"/>
        </w:rPr>
        <w:t>生物降解性：</w:t>
      </w:r>
      <w:r>
        <w:rPr>
          <w:rFonts w:hint="eastAsia" w:ascii="黑体" w:hAnsi="黑体" w:eastAsia="黑体" w:cs="黑体"/>
          <w:spacing w:val="-2"/>
          <w:sz w:val="24"/>
          <w:szCs w:val="24"/>
        </w:rPr>
        <w:t>无资料</w:t>
      </w:r>
    </w:p>
    <w:p w14:paraId="72EC32E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17" w:line="360" w:lineRule="auto"/>
        <w:ind w:left="40" w:firstLine="474" w:firstLineChars="200"/>
        <w:textAlignment w:val="baseline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spacing w:val="-2"/>
          <w:sz w:val="24"/>
          <w:szCs w:val="24"/>
        </w:rPr>
        <w:t>非生物降解性：</w:t>
      </w:r>
      <w:r>
        <w:rPr>
          <w:rFonts w:hint="eastAsia" w:ascii="黑体" w:hAnsi="黑体" w:eastAsia="黑体" w:cs="黑体"/>
          <w:spacing w:val="-2"/>
          <w:sz w:val="24"/>
          <w:szCs w:val="24"/>
        </w:rPr>
        <w:t>无资料</w:t>
      </w:r>
    </w:p>
    <w:p w14:paraId="4F8DAE9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18" w:line="360" w:lineRule="auto"/>
        <w:ind w:left="36" w:firstLine="474" w:firstLineChars="200"/>
        <w:textAlignment w:val="baseline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spacing w:val="-2"/>
          <w:sz w:val="24"/>
          <w:szCs w:val="24"/>
        </w:rPr>
        <w:t>潜在的生物累积性：</w:t>
      </w:r>
      <w:r>
        <w:rPr>
          <w:rFonts w:hint="eastAsia" w:ascii="黑体" w:hAnsi="黑体" w:eastAsia="黑体" w:cs="黑体"/>
          <w:spacing w:val="-2"/>
          <w:sz w:val="24"/>
          <w:szCs w:val="24"/>
        </w:rPr>
        <w:t>无资料</w:t>
      </w:r>
    </w:p>
    <w:p w14:paraId="23ADD41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8" w:line="360" w:lineRule="auto"/>
        <w:ind w:firstLine="482" w:firstLineChars="200"/>
        <w:textAlignment w:val="baseline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sz w:val="24"/>
          <w:szCs w:val="24"/>
        </w:rPr>
        <w:t>土壤中的迁移性：</w:t>
      </w:r>
      <w:r>
        <w:rPr>
          <w:rFonts w:hint="eastAsia" w:ascii="黑体" w:hAnsi="黑体" w:eastAsia="黑体" w:cs="黑体"/>
          <w:sz w:val="24"/>
          <w:szCs w:val="24"/>
        </w:rPr>
        <w:t>无资料</w:t>
      </w:r>
      <w:r>
        <w:rPr>
          <w:rFonts w:hint="eastAsia" w:ascii="黑体" w:hAnsi="黑体" w:eastAsia="黑体" w:cs="黑体"/>
          <w:b/>
          <w:bCs/>
          <w:sz w:val="24"/>
          <w:szCs w:val="24"/>
        </w:rPr>
        <w:t>其他有害作用：</w:t>
      </w:r>
      <w:r>
        <w:rPr>
          <w:rFonts w:hint="eastAsia" w:ascii="黑体" w:hAnsi="黑体" w:eastAsia="黑体" w:cs="黑体"/>
          <w:spacing w:val="-26"/>
          <w:sz w:val="24"/>
          <w:szCs w:val="24"/>
        </w:rPr>
        <w:t xml:space="preserve"> </w:t>
      </w:r>
      <w:r>
        <w:rPr>
          <w:rFonts w:hint="eastAsia" w:ascii="黑体" w:hAnsi="黑体" w:eastAsia="黑体" w:cs="黑体"/>
          <w:sz w:val="24"/>
          <w:szCs w:val="24"/>
        </w:rPr>
        <w:t>由于呈碱性，对水体可造成污染，对植物和水生</w:t>
      </w:r>
      <w:r>
        <w:rPr>
          <w:rFonts w:hint="eastAsia" w:ascii="黑体" w:hAnsi="黑体" w:eastAsia="黑体" w:cs="黑体"/>
          <w:spacing w:val="-1"/>
          <w:sz w:val="24"/>
          <w:szCs w:val="24"/>
        </w:rPr>
        <w:t>生物应给予特别注意。</w:t>
      </w:r>
    </w:p>
    <w:p w14:paraId="1A3408A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60" w:line="360" w:lineRule="auto"/>
        <w:jc w:val="center"/>
        <w:textAlignment w:val="baseline"/>
        <w:outlineLvl w:val="0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spacing w:val="-2"/>
          <w:sz w:val="24"/>
          <w:szCs w:val="24"/>
        </w:rPr>
        <w:t>第十三部分</w:t>
      </w:r>
      <w:r>
        <w:rPr>
          <w:rFonts w:hint="eastAsia" w:ascii="黑体" w:hAnsi="黑体" w:eastAsia="黑体" w:cs="黑体"/>
          <w:spacing w:val="-2"/>
          <w:sz w:val="24"/>
          <w:szCs w:val="24"/>
        </w:rPr>
        <w:t xml:space="preserve">     </w:t>
      </w:r>
      <w:r>
        <w:rPr>
          <w:rFonts w:hint="eastAsia" w:ascii="黑体" w:hAnsi="黑体" w:eastAsia="黑体" w:cs="黑体"/>
          <w:b/>
          <w:bCs/>
          <w:spacing w:val="-2"/>
          <w:sz w:val="24"/>
          <w:szCs w:val="24"/>
        </w:rPr>
        <w:t>废弃处置</w:t>
      </w:r>
    </w:p>
    <w:p w14:paraId="56B5E55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47" w:line="360" w:lineRule="auto"/>
        <w:ind w:right="40" w:firstLine="526" w:firstLineChars="200"/>
        <w:textAlignment w:val="baseline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spacing w:val="11"/>
          <w:sz w:val="24"/>
          <w:szCs w:val="24"/>
        </w:rPr>
        <w:t>化学品残余废弃物处置方法：</w:t>
      </w:r>
      <w:r>
        <w:rPr>
          <w:rFonts w:hint="eastAsia" w:ascii="黑体" w:hAnsi="黑体" w:eastAsia="黑体" w:cs="黑体"/>
          <w:spacing w:val="11"/>
          <w:sz w:val="24"/>
          <w:szCs w:val="24"/>
        </w:rPr>
        <w:t>用大量水冲洗</w:t>
      </w:r>
      <w:r>
        <w:rPr>
          <w:rFonts w:hint="eastAsia" w:ascii="黑体" w:hAnsi="黑体" w:eastAsia="黑体" w:cs="黑体"/>
          <w:spacing w:val="-60"/>
          <w:sz w:val="24"/>
          <w:szCs w:val="24"/>
        </w:rPr>
        <w:t xml:space="preserve"> </w:t>
      </w:r>
      <w:r>
        <w:rPr>
          <w:rFonts w:hint="eastAsia" w:ascii="黑体" w:hAnsi="黑体" w:eastAsia="黑体" w:cs="黑体"/>
          <w:spacing w:val="11"/>
          <w:sz w:val="24"/>
          <w:szCs w:val="24"/>
        </w:rPr>
        <w:t>，冲洗水中和调节至中性</w:t>
      </w:r>
      <w:r>
        <w:rPr>
          <w:rFonts w:hint="eastAsia" w:ascii="黑体" w:hAnsi="黑体" w:eastAsia="黑体" w:cs="黑体"/>
          <w:spacing w:val="10"/>
          <w:sz w:val="24"/>
          <w:szCs w:val="24"/>
        </w:rPr>
        <w:t>，</w:t>
      </w:r>
      <w:r>
        <w:rPr>
          <w:rFonts w:hint="eastAsia" w:ascii="黑体" w:hAnsi="黑体" w:eastAsia="黑体" w:cs="黑体"/>
          <w:spacing w:val="-59"/>
          <w:sz w:val="24"/>
          <w:szCs w:val="24"/>
        </w:rPr>
        <w:t xml:space="preserve"> </w:t>
      </w:r>
      <w:r>
        <w:rPr>
          <w:rFonts w:hint="eastAsia" w:ascii="黑体" w:hAnsi="黑体" w:eastAsia="黑体" w:cs="黑体"/>
          <w:spacing w:val="10"/>
          <w:sz w:val="24"/>
          <w:szCs w:val="24"/>
        </w:rPr>
        <w:t>再排入废水系</w:t>
      </w:r>
      <w:r>
        <w:rPr>
          <w:rFonts w:hint="eastAsia" w:ascii="黑体" w:hAnsi="黑体" w:eastAsia="黑体" w:cs="黑体"/>
          <w:spacing w:val="-8"/>
          <w:sz w:val="24"/>
          <w:szCs w:val="24"/>
        </w:rPr>
        <w:t>统</w:t>
      </w:r>
      <w:r>
        <w:rPr>
          <w:rFonts w:hint="eastAsia" w:ascii="黑体" w:hAnsi="黑体" w:eastAsia="黑体" w:cs="黑体"/>
          <w:b/>
          <w:bCs/>
          <w:spacing w:val="-8"/>
          <w:sz w:val="24"/>
          <w:szCs w:val="24"/>
        </w:rPr>
        <w:t>。</w:t>
      </w:r>
    </w:p>
    <w:p w14:paraId="4BDAE80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28" w:firstLine="482" w:firstLineChars="200"/>
        <w:textAlignment w:val="baseline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sz w:val="24"/>
          <w:szCs w:val="24"/>
        </w:rPr>
        <w:t>受污染的容器和包装物的处置方法：</w:t>
      </w:r>
      <w:r>
        <w:rPr>
          <w:rFonts w:hint="eastAsia" w:ascii="黑体" w:hAnsi="黑体" w:eastAsia="黑体" w:cs="黑体"/>
          <w:spacing w:val="-31"/>
          <w:sz w:val="24"/>
          <w:szCs w:val="24"/>
        </w:rPr>
        <w:t xml:space="preserve"> </w:t>
      </w:r>
      <w:r>
        <w:rPr>
          <w:rFonts w:hint="eastAsia" w:ascii="黑体" w:hAnsi="黑体" w:eastAsia="黑体" w:cs="黑体"/>
          <w:sz w:val="24"/>
          <w:szCs w:val="24"/>
        </w:rPr>
        <w:t>处置前应参阅国家和地方有关法规。包装容器和包装</w:t>
      </w:r>
      <w:r>
        <w:rPr>
          <w:rFonts w:hint="eastAsia" w:ascii="黑体" w:hAnsi="黑体" w:eastAsia="黑体" w:cs="黑体"/>
          <w:spacing w:val="-1"/>
          <w:sz w:val="24"/>
          <w:szCs w:val="24"/>
        </w:rPr>
        <w:t>物归还厂商或清刷干净后存放在规定场所。</w:t>
      </w:r>
    </w:p>
    <w:p w14:paraId="2572767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40" w:line="360" w:lineRule="auto"/>
        <w:jc w:val="center"/>
        <w:textAlignment w:val="baseline"/>
        <w:outlineLvl w:val="0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spacing w:val="-2"/>
          <w:sz w:val="24"/>
          <w:szCs w:val="24"/>
        </w:rPr>
        <w:t>第十四部分</w:t>
      </w:r>
      <w:r>
        <w:rPr>
          <w:rFonts w:hint="eastAsia" w:ascii="黑体" w:hAnsi="黑体" w:eastAsia="黑体" w:cs="黑体"/>
          <w:spacing w:val="-2"/>
          <w:sz w:val="24"/>
          <w:szCs w:val="24"/>
        </w:rPr>
        <w:t xml:space="preserve">     </w:t>
      </w:r>
      <w:r>
        <w:rPr>
          <w:rFonts w:hint="eastAsia" w:ascii="黑体" w:hAnsi="黑体" w:eastAsia="黑体" w:cs="黑体"/>
          <w:b/>
          <w:bCs/>
          <w:spacing w:val="-2"/>
          <w:sz w:val="24"/>
          <w:szCs w:val="24"/>
        </w:rPr>
        <w:t>运输信息</w:t>
      </w:r>
    </w:p>
    <w:p w14:paraId="492638E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46" w:line="360" w:lineRule="auto"/>
        <w:ind w:left="37" w:firstLine="458" w:firstLineChars="200"/>
        <w:textAlignment w:val="baseline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spacing w:val="-6"/>
          <w:sz w:val="24"/>
          <w:szCs w:val="24"/>
        </w:rPr>
        <w:t>联合国危险货物编号（UN 编号</w:t>
      </w:r>
      <w:r>
        <w:rPr>
          <w:rFonts w:hint="eastAsia" w:ascii="黑体" w:hAnsi="黑体" w:eastAsia="黑体" w:cs="黑体"/>
          <w:b/>
          <w:bCs/>
          <w:spacing w:val="-3"/>
          <w:sz w:val="24"/>
          <w:szCs w:val="24"/>
        </w:rPr>
        <w:t>）：</w:t>
      </w:r>
      <w:r>
        <w:rPr>
          <w:rFonts w:hint="eastAsia" w:ascii="黑体" w:hAnsi="黑体" w:eastAsia="黑体" w:cs="黑体"/>
          <w:spacing w:val="-6"/>
          <w:sz w:val="24"/>
          <w:szCs w:val="24"/>
        </w:rPr>
        <w:t>1824（溶液）</w:t>
      </w:r>
    </w:p>
    <w:p w14:paraId="6FD5331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02" w:line="360" w:lineRule="auto"/>
        <w:ind w:left="37" w:firstLine="474" w:firstLineChars="200"/>
        <w:textAlignment w:val="baseline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spacing w:val="-2"/>
          <w:sz w:val="24"/>
          <w:szCs w:val="24"/>
        </w:rPr>
        <w:t>联合国运输名称：</w:t>
      </w:r>
      <w:r>
        <w:rPr>
          <w:rFonts w:hint="eastAsia" w:ascii="黑体" w:hAnsi="黑体" w:eastAsia="黑体" w:cs="黑体"/>
          <w:spacing w:val="-2"/>
          <w:sz w:val="24"/>
          <w:szCs w:val="24"/>
        </w:rPr>
        <w:t>氢氧化钠溶液（溶液）</w:t>
      </w:r>
    </w:p>
    <w:p w14:paraId="7CB4A7B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19" w:line="360" w:lineRule="auto"/>
        <w:ind w:left="37" w:firstLine="478" w:firstLineChars="200"/>
        <w:textAlignment w:val="baseline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spacing w:val="-1"/>
          <w:sz w:val="24"/>
          <w:szCs w:val="24"/>
        </w:rPr>
        <w:t>联合国危险性分类：</w:t>
      </w:r>
      <w:r>
        <w:rPr>
          <w:rFonts w:hint="eastAsia" w:ascii="黑体" w:hAnsi="黑体" w:eastAsia="黑体" w:cs="黑体"/>
          <w:spacing w:val="-1"/>
          <w:sz w:val="24"/>
          <w:szCs w:val="24"/>
        </w:rPr>
        <w:t>8</w:t>
      </w:r>
    </w:p>
    <w:p w14:paraId="2722C8E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01" w:line="360" w:lineRule="auto"/>
        <w:ind w:left="37" w:firstLine="474" w:firstLineChars="200"/>
        <w:textAlignment w:val="baseline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spacing w:val="-2"/>
          <w:sz w:val="24"/>
          <w:szCs w:val="24"/>
        </w:rPr>
        <w:t>包装标志</w:t>
      </w:r>
      <w:r>
        <w:rPr>
          <w:rFonts w:hint="eastAsia" w:ascii="黑体" w:hAnsi="黑体" w:eastAsia="黑体" w:cs="黑体"/>
          <w:spacing w:val="-2"/>
          <w:sz w:val="24"/>
          <w:szCs w:val="24"/>
        </w:rPr>
        <w:t>：腐蚀性物质</w:t>
      </w:r>
    </w:p>
    <w:p w14:paraId="6D50E6F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16" w:line="360" w:lineRule="auto"/>
        <w:ind w:left="37" w:firstLine="458" w:firstLineChars="200"/>
        <w:textAlignment w:val="baseline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spacing w:val="-6"/>
          <w:sz w:val="24"/>
          <w:szCs w:val="24"/>
        </w:rPr>
        <w:t>包装类别：</w:t>
      </w:r>
      <w:r>
        <w:rPr>
          <w:rFonts w:hint="eastAsia" w:ascii="黑体" w:hAnsi="黑体" w:eastAsia="黑体" w:cs="黑体"/>
          <w:spacing w:val="-56"/>
          <w:sz w:val="24"/>
          <w:szCs w:val="24"/>
        </w:rPr>
        <w:t xml:space="preserve"> </w:t>
      </w:r>
      <w:r>
        <w:rPr>
          <w:rFonts w:hint="eastAsia" w:ascii="黑体" w:hAnsi="黑体" w:eastAsia="黑体" w:cs="黑体"/>
          <w:spacing w:val="-6"/>
          <w:sz w:val="24"/>
          <w:szCs w:val="24"/>
        </w:rPr>
        <w:t>Ⅱ类</w:t>
      </w:r>
    </w:p>
    <w:p w14:paraId="4E2A58C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17" w:line="360" w:lineRule="auto"/>
        <w:ind w:left="37" w:firstLine="454" w:firstLineChars="200"/>
        <w:textAlignment w:val="baseline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spacing w:val="-7"/>
          <w:sz w:val="24"/>
          <w:szCs w:val="24"/>
        </w:rPr>
        <w:t>包装组（如果可能</w:t>
      </w:r>
      <w:r>
        <w:rPr>
          <w:rFonts w:hint="eastAsia" w:ascii="黑体" w:hAnsi="黑体" w:eastAsia="黑体" w:cs="黑体"/>
          <w:b/>
          <w:bCs/>
          <w:spacing w:val="8"/>
          <w:sz w:val="24"/>
          <w:szCs w:val="24"/>
        </w:rPr>
        <w:t>）：</w:t>
      </w:r>
      <w:r>
        <w:rPr>
          <w:rFonts w:hint="eastAsia" w:ascii="黑体" w:hAnsi="黑体" w:eastAsia="黑体" w:cs="黑体"/>
          <w:spacing w:val="-7"/>
          <w:sz w:val="24"/>
          <w:szCs w:val="24"/>
        </w:rPr>
        <w:t>无需成组包装，采用罐装。</w:t>
      </w:r>
    </w:p>
    <w:p w14:paraId="26990BB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19" w:line="360" w:lineRule="auto"/>
        <w:ind w:left="36" w:firstLine="450" w:firstLineChars="200"/>
        <w:textAlignment w:val="baseline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spacing w:val="-8"/>
          <w:sz w:val="24"/>
          <w:szCs w:val="24"/>
        </w:rPr>
        <w:t>海洋污染物（是/否</w:t>
      </w:r>
      <w:r>
        <w:rPr>
          <w:rFonts w:hint="eastAsia" w:ascii="黑体" w:hAnsi="黑体" w:eastAsia="黑体" w:cs="黑体"/>
          <w:b/>
          <w:bCs/>
          <w:spacing w:val="-16"/>
          <w:sz w:val="24"/>
          <w:szCs w:val="24"/>
        </w:rPr>
        <w:t>）：</w:t>
      </w:r>
      <w:r>
        <w:rPr>
          <w:rFonts w:hint="eastAsia" w:ascii="黑体" w:hAnsi="黑体" w:eastAsia="黑体" w:cs="黑体"/>
          <w:spacing w:val="-8"/>
          <w:sz w:val="24"/>
          <w:szCs w:val="24"/>
        </w:rPr>
        <w:t>否</w:t>
      </w:r>
    </w:p>
    <w:p w14:paraId="29162AD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00" w:line="360" w:lineRule="auto"/>
        <w:ind w:right="24" w:firstLine="486" w:firstLineChars="200"/>
        <w:textAlignment w:val="baseline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spacing w:val="1"/>
          <w:sz w:val="24"/>
          <w:szCs w:val="24"/>
        </w:rPr>
        <w:t>包装方法</w:t>
      </w:r>
      <w:r>
        <w:rPr>
          <w:rFonts w:hint="eastAsia" w:ascii="黑体" w:hAnsi="黑体" w:eastAsia="黑体" w:cs="黑体"/>
          <w:spacing w:val="1"/>
          <w:sz w:val="24"/>
          <w:szCs w:val="24"/>
        </w:rPr>
        <w:t>：通常采用普通碳素钢制作的槽罐车、船舶散装，浓度大于 45%或特殊品</w:t>
      </w:r>
      <w:r>
        <w:rPr>
          <w:rFonts w:hint="eastAsia" w:ascii="黑体" w:hAnsi="黑体" w:eastAsia="黑体" w:cs="黑体"/>
          <w:sz w:val="24"/>
          <w:szCs w:val="24"/>
        </w:rPr>
        <w:t>质要求</w:t>
      </w:r>
      <w:r>
        <w:rPr>
          <w:rFonts w:hint="eastAsia" w:ascii="黑体" w:hAnsi="黑体" w:eastAsia="黑体" w:cs="黑体"/>
          <w:spacing w:val="-1"/>
          <w:sz w:val="24"/>
          <w:szCs w:val="24"/>
        </w:rPr>
        <w:t>的液碱宜采用含镍（Ni）不锈钢制作的槽罐车、船舶散装。</w:t>
      </w:r>
    </w:p>
    <w:p w14:paraId="42F8DE6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80" w:firstLineChars="200"/>
        <w:textAlignment w:val="baseline"/>
        <w:rPr>
          <w:rFonts w:hint="eastAsia" w:ascii="黑体" w:hAnsi="黑体" w:eastAsia="黑体" w:cs="黑体"/>
          <w:sz w:val="24"/>
          <w:szCs w:val="24"/>
        </w:rPr>
      </w:pPr>
    </w:p>
    <w:p w14:paraId="7D0F978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9" w:line="360" w:lineRule="auto"/>
        <w:ind w:right="173" w:firstLine="478" w:firstLineChars="200"/>
        <w:textAlignment w:val="baseline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spacing w:val="-1"/>
          <w:sz w:val="24"/>
          <w:szCs w:val="24"/>
        </w:rPr>
        <w:t>运输注意事项</w:t>
      </w:r>
      <w:r>
        <w:rPr>
          <w:rFonts w:hint="eastAsia" w:ascii="黑体" w:hAnsi="黑体" w:eastAsia="黑体" w:cs="黑体"/>
          <w:spacing w:val="-1"/>
          <w:sz w:val="24"/>
          <w:szCs w:val="24"/>
        </w:rPr>
        <w:t>：铁路运输时,钢桶包装的可用敞车运输。起运时包装要完整,装</w:t>
      </w:r>
      <w:r>
        <w:rPr>
          <w:rFonts w:hint="eastAsia" w:ascii="黑体" w:hAnsi="黑体" w:eastAsia="黑体" w:cs="黑体"/>
          <w:spacing w:val="-2"/>
          <w:sz w:val="24"/>
          <w:szCs w:val="24"/>
        </w:rPr>
        <w:t>载应稳妥。</w:t>
      </w:r>
      <w:r>
        <w:rPr>
          <w:rFonts w:hint="eastAsia" w:ascii="黑体" w:hAnsi="黑体" w:eastAsia="黑体" w:cs="黑体"/>
          <w:sz w:val="24"/>
          <w:szCs w:val="24"/>
        </w:rPr>
        <w:t>运输过程中要确保容器不泄漏、不倒塌、不坠落、不损坏。严禁与易</w:t>
      </w:r>
      <w:r>
        <w:rPr>
          <w:rFonts w:hint="eastAsia" w:ascii="黑体" w:hAnsi="黑体" w:eastAsia="黑体" w:cs="黑体"/>
          <w:spacing w:val="-1"/>
          <w:sz w:val="24"/>
          <w:szCs w:val="24"/>
        </w:rPr>
        <w:t>燃物或</w:t>
      </w:r>
      <w:r>
        <w:rPr>
          <w:rFonts w:hint="eastAsia" w:ascii="黑体" w:hAnsi="黑体" w:eastAsia="黑体" w:cs="黑体"/>
          <w:sz w:val="24"/>
          <w:szCs w:val="24"/>
        </w:rPr>
        <w:t>可燃物、酸类、食用化学品等混装混运。运输时运输车辆应配备泄漏</w:t>
      </w:r>
      <w:r>
        <w:rPr>
          <w:rFonts w:hint="eastAsia" w:ascii="黑体" w:hAnsi="黑体" w:eastAsia="黑体" w:cs="黑体"/>
          <w:spacing w:val="-1"/>
          <w:sz w:val="24"/>
          <w:szCs w:val="24"/>
        </w:rPr>
        <w:t>应急处</w:t>
      </w:r>
      <w:r>
        <w:rPr>
          <w:rFonts w:hint="eastAsia" w:ascii="黑体" w:hAnsi="黑体" w:eastAsia="黑体" w:cs="黑体"/>
          <w:spacing w:val="-2"/>
          <w:sz w:val="24"/>
          <w:szCs w:val="24"/>
        </w:rPr>
        <w:t>理设备</w:t>
      </w:r>
    </w:p>
    <w:p w14:paraId="11B460A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07" w:line="360" w:lineRule="auto"/>
        <w:ind w:firstLine="2606" w:firstLineChars="1100"/>
        <w:jc w:val="both"/>
        <w:textAlignment w:val="baseline"/>
        <w:outlineLvl w:val="0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spacing w:val="-2"/>
          <w:sz w:val="24"/>
          <w:szCs w:val="24"/>
        </w:rPr>
        <w:t>第十五部分</w:t>
      </w:r>
      <w:r>
        <w:rPr>
          <w:rFonts w:hint="eastAsia" w:ascii="黑体" w:hAnsi="黑体" w:eastAsia="黑体" w:cs="黑体"/>
          <w:spacing w:val="-2"/>
          <w:sz w:val="24"/>
          <w:szCs w:val="24"/>
        </w:rPr>
        <w:t xml:space="preserve">    </w:t>
      </w:r>
      <w:r>
        <w:rPr>
          <w:rFonts w:hint="eastAsia" w:ascii="黑体" w:hAnsi="黑体" w:eastAsia="黑体" w:cs="黑体"/>
          <w:b/>
          <w:bCs/>
          <w:spacing w:val="-2"/>
          <w:sz w:val="24"/>
          <w:szCs w:val="24"/>
        </w:rPr>
        <w:t>法规信息</w:t>
      </w:r>
    </w:p>
    <w:p w14:paraId="2471E5D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47" w:line="360" w:lineRule="auto"/>
        <w:ind w:left="35" w:right="30" w:firstLine="492" w:firstLineChars="200"/>
        <w:textAlignment w:val="baseline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pacing w:val="3"/>
          <w:sz w:val="24"/>
          <w:szCs w:val="24"/>
        </w:rPr>
        <w:t>下列法律法规和标准，对危险化学品的安全使用、生产、储存、运输、装卸等</w:t>
      </w:r>
      <w:r>
        <w:rPr>
          <w:rFonts w:hint="eastAsia" w:ascii="黑体" w:hAnsi="黑体" w:eastAsia="黑体" w:cs="黑体"/>
          <w:spacing w:val="2"/>
          <w:sz w:val="24"/>
          <w:szCs w:val="24"/>
        </w:rPr>
        <w:t>方面均</w:t>
      </w:r>
      <w:r>
        <w:rPr>
          <w:rFonts w:hint="eastAsia" w:ascii="黑体" w:hAnsi="黑体" w:eastAsia="黑体" w:cs="黑体"/>
          <w:spacing w:val="-5"/>
          <w:sz w:val="24"/>
          <w:szCs w:val="24"/>
        </w:rPr>
        <w:t>作了相应规定：</w:t>
      </w:r>
    </w:p>
    <w:p w14:paraId="7FBCF76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" w:line="360" w:lineRule="auto"/>
        <w:ind w:left="42" w:right="29" w:firstLine="468" w:firstLineChars="200"/>
        <w:textAlignment w:val="baseline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pacing w:val="-3"/>
          <w:sz w:val="24"/>
          <w:szCs w:val="24"/>
        </w:rPr>
        <w:t>《中华人民共和国安全生产法》（2021</w:t>
      </w:r>
      <w:r>
        <w:rPr>
          <w:rFonts w:hint="eastAsia" w:ascii="黑体" w:hAnsi="黑体" w:eastAsia="黑体" w:cs="黑体"/>
          <w:spacing w:val="33"/>
          <w:sz w:val="24"/>
          <w:szCs w:val="24"/>
        </w:rPr>
        <w:t xml:space="preserve"> </w:t>
      </w:r>
      <w:r>
        <w:rPr>
          <w:rFonts w:hint="eastAsia" w:ascii="黑体" w:hAnsi="黑体" w:eastAsia="黑体" w:cs="黑体"/>
          <w:spacing w:val="-3"/>
          <w:sz w:val="24"/>
          <w:szCs w:val="24"/>
        </w:rPr>
        <w:t>年 6</w:t>
      </w:r>
      <w:r>
        <w:rPr>
          <w:rFonts w:hint="eastAsia" w:ascii="黑体" w:hAnsi="黑体" w:eastAsia="黑体" w:cs="黑体"/>
          <w:spacing w:val="34"/>
          <w:sz w:val="24"/>
          <w:szCs w:val="24"/>
        </w:rPr>
        <w:t xml:space="preserve"> </w:t>
      </w:r>
      <w:r>
        <w:rPr>
          <w:rFonts w:hint="eastAsia" w:ascii="黑体" w:hAnsi="黑体" w:eastAsia="黑体" w:cs="黑体"/>
          <w:spacing w:val="-3"/>
          <w:sz w:val="24"/>
          <w:szCs w:val="24"/>
        </w:rPr>
        <w:t>月 10  日第十三届全国人民代</w:t>
      </w:r>
      <w:r>
        <w:rPr>
          <w:rFonts w:hint="eastAsia" w:ascii="黑体" w:hAnsi="黑体" w:eastAsia="黑体" w:cs="黑体"/>
          <w:spacing w:val="-4"/>
          <w:sz w:val="24"/>
          <w:szCs w:val="24"/>
        </w:rPr>
        <w:t>表大会</w:t>
      </w:r>
      <w:r>
        <w:rPr>
          <w:rFonts w:hint="eastAsia" w:ascii="黑体" w:hAnsi="黑体" w:eastAsia="黑体" w:cs="黑体"/>
          <w:spacing w:val="-1"/>
          <w:sz w:val="24"/>
          <w:szCs w:val="24"/>
        </w:rPr>
        <w:t>常务委员会第二十九次会议第三次修正）</w:t>
      </w:r>
    </w:p>
    <w:p w14:paraId="3BBF9E5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1" w:line="360" w:lineRule="auto"/>
        <w:ind w:left="237" w:firstLine="468" w:firstLineChars="200"/>
        <w:textAlignment w:val="baseline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pacing w:val="-3"/>
          <w:sz w:val="24"/>
          <w:szCs w:val="24"/>
        </w:rPr>
        <w:t>《中华人民共和国职业病防治法》（2017 年</w:t>
      </w:r>
      <w:r>
        <w:rPr>
          <w:rFonts w:hint="eastAsia" w:ascii="黑体" w:hAnsi="黑体" w:eastAsia="黑体" w:cs="黑体"/>
          <w:spacing w:val="-30"/>
          <w:sz w:val="24"/>
          <w:szCs w:val="24"/>
        </w:rPr>
        <w:t xml:space="preserve"> </w:t>
      </w:r>
      <w:r>
        <w:rPr>
          <w:rFonts w:hint="eastAsia" w:ascii="黑体" w:hAnsi="黑体" w:eastAsia="黑体" w:cs="黑体"/>
          <w:spacing w:val="-3"/>
          <w:sz w:val="24"/>
          <w:szCs w:val="24"/>
        </w:rPr>
        <w:t>11 月</w:t>
      </w:r>
      <w:r>
        <w:rPr>
          <w:rFonts w:hint="eastAsia" w:ascii="黑体" w:hAnsi="黑体" w:eastAsia="黑体" w:cs="黑体"/>
          <w:spacing w:val="-52"/>
          <w:sz w:val="24"/>
          <w:szCs w:val="24"/>
        </w:rPr>
        <w:t xml:space="preserve"> </w:t>
      </w:r>
      <w:r>
        <w:rPr>
          <w:rFonts w:hint="eastAsia" w:ascii="黑体" w:hAnsi="黑体" w:eastAsia="黑体" w:cs="黑体"/>
          <w:spacing w:val="-3"/>
          <w:sz w:val="24"/>
          <w:szCs w:val="24"/>
        </w:rPr>
        <w:t>4</w:t>
      </w:r>
      <w:r>
        <w:rPr>
          <w:rFonts w:hint="eastAsia" w:ascii="黑体" w:hAnsi="黑体" w:eastAsia="黑体" w:cs="黑体"/>
          <w:spacing w:val="40"/>
          <w:sz w:val="24"/>
          <w:szCs w:val="24"/>
        </w:rPr>
        <w:t xml:space="preserve"> </w:t>
      </w:r>
      <w:r>
        <w:rPr>
          <w:rFonts w:hint="eastAsia" w:ascii="黑体" w:hAnsi="黑体" w:eastAsia="黑体" w:cs="黑体"/>
          <w:spacing w:val="-3"/>
          <w:sz w:val="24"/>
          <w:szCs w:val="24"/>
        </w:rPr>
        <w:t>日修订）</w:t>
      </w:r>
    </w:p>
    <w:p w14:paraId="0C3DC88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2" w:line="360" w:lineRule="auto"/>
        <w:ind w:left="237" w:firstLine="472" w:firstLineChars="200"/>
        <w:textAlignment w:val="baseline"/>
        <w:rPr>
          <w:rFonts w:hint="eastAsia" w:ascii="黑体" w:hAnsi="黑体" w:eastAsia="黑体" w:cs="黑体"/>
          <w:spacing w:val="-2"/>
          <w:sz w:val="24"/>
          <w:szCs w:val="24"/>
        </w:rPr>
      </w:pPr>
      <w:r>
        <w:rPr>
          <w:rFonts w:hint="eastAsia" w:ascii="黑体" w:hAnsi="黑体" w:eastAsia="黑体" w:cs="黑体"/>
          <w:spacing w:val="-2"/>
          <w:sz w:val="24"/>
          <w:szCs w:val="24"/>
        </w:rPr>
        <w:t>《中华人民共和国环境保护法》（2014</w:t>
      </w:r>
      <w:r>
        <w:rPr>
          <w:rFonts w:hint="eastAsia" w:ascii="黑体" w:hAnsi="黑体" w:eastAsia="黑体" w:cs="黑体"/>
          <w:spacing w:val="34"/>
          <w:w w:val="101"/>
          <w:sz w:val="24"/>
          <w:szCs w:val="24"/>
        </w:rPr>
        <w:t xml:space="preserve"> </w:t>
      </w:r>
      <w:r>
        <w:rPr>
          <w:rFonts w:hint="eastAsia" w:ascii="黑体" w:hAnsi="黑体" w:eastAsia="黑体" w:cs="黑体"/>
          <w:spacing w:val="-2"/>
          <w:sz w:val="24"/>
          <w:szCs w:val="24"/>
        </w:rPr>
        <w:t>年</w:t>
      </w:r>
      <w:r>
        <w:rPr>
          <w:rFonts w:hint="eastAsia" w:ascii="黑体" w:hAnsi="黑体" w:eastAsia="黑体" w:cs="黑体"/>
          <w:spacing w:val="-21"/>
          <w:sz w:val="24"/>
          <w:szCs w:val="24"/>
        </w:rPr>
        <w:t xml:space="preserve"> </w:t>
      </w:r>
      <w:r>
        <w:rPr>
          <w:rFonts w:hint="eastAsia" w:ascii="黑体" w:hAnsi="黑体" w:eastAsia="黑体" w:cs="黑体"/>
          <w:spacing w:val="-2"/>
          <w:sz w:val="24"/>
          <w:szCs w:val="24"/>
        </w:rPr>
        <w:t>4</w:t>
      </w:r>
      <w:r>
        <w:rPr>
          <w:rFonts w:hint="eastAsia" w:ascii="黑体" w:hAnsi="黑体" w:eastAsia="黑体" w:cs="黑体"/>
          <w:spacing w:val="39"/>
          <w:w w:val="101"/>
          <w:sz w:val="24"/>
          <w:szCs w:val="24"/>
        </w:rPr>
        <w:t xml:space="preserve"> </w:t>
      </w:r>
      <w:r>
        <w:rPr>
          <w:rFonts w:hint="eastAsia" w:ascii="黑体" w:hAnsi="黑体" w:eastAsia="黑体" w:cs="黑体"/>
          <w:spacing w:val="-2"/>
          <w:sz w:val="24"/>
          <w:szCs w:val="24"/>
        </w:rPr>
        <w:t>月 24  日第十二届全</w:t>
      </w:r>
      <w:r>
        <w:rPr>
          <w:rFonts w:hint="eastAsia" w:ascii="黑体" w:hAnsi="黑体" w:eastAsia="黑体" w:cs="黑体"/>
          <w:spacing w:val="-3"/>
          <w:sz w:val="24"/>
          <w:szCs w:val="24"/>
        </w:rPr>
        <w:t>国人民代表大会常</w:t>
      </w:r>
      <w:r>
        <w:rPr>
          <w:rFonts w:hint="eastAsia" w:ascii="黑体" w:hAnsi="黑体" w:eastAsia="黑体" w:cs="黑体"/>
          <w:spacing w:val="-2"/>
          <w:sz w:val="24"/>
          <w:szCs w:val="24"/>
        </w:rPr>
        <w:t>务委员会第八次会议修订通过）</w:t>
      </w:r>
    </w:p>
    <w:p w14:paraId="3193AC2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2" w:line="360" w:lineRule="auto"/>
        <w:ind w:left="237" w:firstLine="464" w:firstLineChars="200"/>
        <w:textAlignment w:val="baseline"/>
        <w:rPr>
          <w:rFonts w:hint="eastAsia" w:ascii="黑体" w:hAnsi="黑体" w:eastAsia="黑体" w:cs="黑体"/>
          <w:spacing w:val="-4"/>
          <w:sz w:val="24"/>
          <w:szCs w:val="24"/>
        </w:rPr>
      </w:pPr>
      <w:r>
        <w:rPr>
          <w:rFonts w:hint="eastAsia" w:ascii="黑体" w:hAnsi="黑体" w:eastAsia="黑体" w:cs="黑体"/>
          <w:spacing w:val="-4"/>
          <w:sz w:val="24"/>
          <w:szCs w:val="24"/>
        </w:rPr>
        <w:t>《危险化学品安全管理条例》（2013 年</w:t>
      </w:r>
      <w:r>
        <w:rPr>
          <w:rFonts w:hint="eastAsia" w:ascii="黑体" w:hAnsi="黑体" w:eastAsia="黑体" w:cs="黑体"/>
          <w:spacing w:val="-26"/>
          <w:sz w:val="24"/>
          <w:szCs w:val="24"/>
        </w:rPr>
        <w:t xml:space="preserve"> </w:t>
      </w:r>
      <w:r>
        <w:rPr>
          <w:rFonts w:hint="eastAsia" w:ascii="黑体" w:hAnsi="黑体" w:eastAsia="黑体" w:cs="黑体"/>
          <w:spacing w:val="-4"/>
          <w:sz w:val="24"/>
          <w:szCs w:val="24"/>
        </w:rPr>
        <w:t>12 月</w:t>
      </w:r>
      <w:r>
        <w:rPr>
          <w:rFonts w:hint="eastAsia" w:ascii="黑体" w:hAnsi="黑体" w:eastAsia="黑体" w:cs="黑体"/>
          <w:spacing w:val="-44"/>
          <w:sz w:val="24"/>
          <w:szCs w:val="24"/>
        </w:rPr>
        <w:t xml:space="preserve"> </w:t>
      </w:r>
      <w:r>
        <w:rPr>
          <w:rFonts w:hint="eastAsia" w:ascii="黑体" w:hAnsi="黑体" w:eastAsia="黑体" w:cs="黑体"/>
          <w:spacing w:val="-4"/>
          <w:sz w:val="24"/>
          <w:szCs w:val="24"/>
        </w:rPr>
        <w:t>7</w:t>
      </w:r>
      <w:r>
        <w:rPr>
          <w:rFonts w:hint="eastAsia" w:ascii="黑体" w:hAnsi="黑体" w:eastAsia="黑体" w:cs="黑体"/>
          <w:spacing w:val="40"/>
          <w:sz w:val="24"/>
          <w:szCs w:val="24"/>
        </w:rPr>
        <w:t xml:space="preserve"> </w:t>
      </w:r>
      <w:r>
        <w:rPr>
          <w:rFonts w:hint="eastAsia" w:ascii="黑体" w:hAnsi="黑体" w:eastAsia="黑体" w:cs="黑体"/>
          <w:spacing w:val="-4"/>
          <w:sz w:val="24"/>
          <w:szCs w:val="24"/>
        </w:rPr>
        <w:t>日修订）</w:t>
      </w:r>
    </w:p>
    <w:p w14:paraId="39D27EF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2" w:line="360" w:lineRule="auto"/>
        <w:ind w:left="237" w:firstLine="468" w:firstLineChars="200"/>
        <w:textAlignment w:val="baseline"/>
        <w:rPr>
          <w:rFonts w:hint="eastAsia" w:ascii="黑体" w:hAnsi="黑体" w:eastAsia="黑体" w:cs="黑体"/>
          <w:spacing w:val="-3"/>
          <w:sz w:val="24"/>
          <w:szCs w:val="24"/>
        </w:rPr>
      </w:pPr>
      <w:r>
        <w:rPr>
          <w:rFonts w:hint="eastAsia" w:ascii="黑体" w:hAnsi="黑体" w:eastAsia="黑体" w:cs="黑体"/>
          <w:spacing w:val="-3"/>
          <w:sz w:val="24"/>
          <w:szCs w:val="24"/>
        </w:rPr>
        <w:t>《安全生产许可证条例》（2014 年</w:t>
      </w:r>
      <w:r>
        <w:rPr>
          <w:rFonts w:hint="eastAsia" w:ascii="黑体" w:hAnsi="黑体" w:eastAsia="黑体" w:cs="黑体"/>
          <w:spacing w:val="-45"/>
          <w:sz w:val="24"/>
          <w:szCs w:val="24"/>
        </w:rPr>
        <w:t xml:space="preserve"> </w:t>
      </w:r>
      <w:r>
        <w:rPr>
          <w:rFonts w:hint="eastAsia" w:ascii="黑体" w:hAnsi="黑体" w:eastAsia="黑体" w:cs="黑体"/>
          <w:spacing w:val="-3"/>
          <w:sz w:val="24"/>
          <w:szCs w:val="24"/>
        </w:rPr>
        <w:t>7 月</w:t>
      </w:r>
      <w:r>
        <w:rPr>
          <w:rFonts w:hint="eastAsia" w:ascii="黑体" w:hAnsi="黑体" w:eastAsia="黑体" w:cs="黑体"/>
          <w:spacing w:val="-48"/>
          <w:sz w:val="24"/>
          <w:szCs w:val="24"/>
        </w:rPr>
        <w:t xml:space="preserve"> </w:t>
      </w:r>
      <w:r>
        <w:rPr>
          <w:rFonts w:hint="eastAsia" w:ascii="黑体" w:hAnsi="黑体" w:eastAsia="黑体" w:cs="黑体"/>
          <w:spacing w:val="-3"/>
          <w:sz w:val="24"/>
          <w:szCs w:val="24"/>
        </w:rPr>
        <w:t>29</w:t>
      </w:r>
      <w:r>
        <w:rPr>
          <w:rFonts w:hint="eastAsia" w:ascii="黑体" w:hAnsi="黑体" w:eastAsia="黑体" w:cs="黑体"/>
          <w:spacing w:val="38"/>
          <w:sz w:val="24"/>
          <w:szCs w:val="24"/>
        </w:rPr>
        <w:t xml:space="preserve"> </w:t>
      </w:r>
      <w:r>
        <w:rPr>
          <w:rFonts w:hint="eastAsia" w:ascii="黑体" w:hAnsi="黑体" w:eastAsia="黑体" w:cs="黑体"/>
          <w:spacing w:val="-3"/>
          <w:sz w:val="24"/>
          <w:szCs w:val="24"/>
        </w:rPr>
        <w:t>日修订）</w:t>
      </w:r>
    </w:p>
    <w:p w14:paraId="4E0EA86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2" w:line="360" w:lineRule="auto"/>
        <w:ind w:left="237" w:firstLine="468" w:firstLineChars="200"/>
        <w:textAlignment w:val="baseline"/>
        <w:rPr>
          <w:rFonts w:hint="eastAsia" w:ascii="黑体" w:hAnsi="黑体" w:eastAsia="黑体" w:cs="黑体"/>
          <w:spacing w:val="-3"/>
          <w:sz w:val="24"/>
          <w:szCs w:val="24"/>
        </w:rPr>
      </w:pPr>
      <w:r>
        <w:rPr>
          <w:rFonts w:hint="eastAsia" w:ascii="黑体" w:hAnsi="黑体" w:eastAsia="黑体" w:cs="黑体"/>
          <w:spacing w:val="-3"/>
          <w:sz w:val="24"/>
          <w:szCs w:val="24"/>
        </w:rPr>
        <w:t>《使用有毒物品作业场所劳动保护条例》（2002 年</w:t>
      </w:r>
      <w:r>
        <w:rPr>
          <w:rFonts w:hint="eastAsia" w:ascii="黑体" w:hAnsi="黑体" w:eastAsia="黑体" w:cs="黑体"/>
          <w:spacing w:val="-43"/>
          <w:sz w:val="24"/>
          <w:szCs w:val="24"/>
        </w:rPr>
        <w:t xml:space="preserve"> </w:t>
      </w:r>
      <w:r>
        <w:rPr>
          <w:rFonts w:hint="eastAsia" w:ascii="黑体" w:hAnsi="黑体" w:eastAsia="黑体" w:cs="黑体"/>
          <w:spacing w:val="-3"/>
          <w:sz w:val="24"/>
          <w:szCs w:val="24"/>
        </w:rPr>
        <w:t>5 月</w:t>
      </w:r>
      <w:r>
        <w:rPr>
          <w:rFonts w:hint="eastAsia" w:ascii="黑体" w:hAnsi="黑体" w:eastAsia="黑体" w:cs="黑体"/>
          <w:spacing w:val="-31"/>
          <w:sz w:val="24"/>
          <w:szCs w:val="24"/>
        </w:rPr>
        <w:t xml:space="preserve"> </w:t>
      </w:r>
      <w:r>
        <w:rPr>
          <w:rFonts w:hint="eastAsia" w:ascii="黑体" w:hAnsi="黑体" w:eastAsia="黑体" w:cs="黑体"/>
          <w:spacing w:val="-3"/>
          <w:sz w:val="24"/>
          <w:szCs w:val="24"/>
        </w:rPr>
        <w:t>12</w:t>
      </w:r>
      <w:r>
        <w:rPr>
          <w:rFonts w:hint="eastAsia" w:ascii="黑体" w:hAnsi="黑体" w:eastAsia="黑体" w:cs="黑体"/>
          <w:spacing w:val="40"/>
          <w:w w:val="101"/>
          <w:sz w:val="24"/>
          <w:szCs w:val="24"/>
        </w:rPr>
        <w:t xml:space="preserve"> </w:t>
      </w:r>
      <w:r>
        <w:rPr>
          <w:rFonts w:hint="eastAsia" w:ascii="黑体" w:hAnsi="黑体" w:eastAsia="黑体" w:cs="黑体"/>
          <w:spacing w:val="-3"/>
          <w:sz w:val="24"/>
          <w:szCs w:val="24"/>
        </w:rPr>
        <w:t>日国务院第</w:t>
      </w:r>
      <w:r>
        <w:rPr>
          <w:rFonts w:hint="eastAsia" w:ascii="黑体" w:hAnsi="黑体" w:eastAsia="黑体" w:cs="黑体"/>
          <w:spacing w:val="-45"/>
          <w:sz w:val="24"/>
          <w:szCs w:val="24"/>
        </w:rPr>
        <w:t xml:space="preserve"> </w:t>
      </w:r>
      <w:r>
        <w:rPr>
          <w:rFonts w:hint="eastAsia" w:ascii="黑体" w:hAnsi="黑体" w:eastAsia="黑体" w:cs="黑体"/>
          <w:spacing w:val="-3"/>
          <w:sz w:val="24"/>
          <w:szCs w:val="24"/>
        </w:rPr>
        <w:t>352 号令）</w:t>
      </w:r>
    </w:p>
    <w:p w14:paraId="21D9700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2" w:line="360" w:lineRule="auto"/>
        <w:ind w:left="237" w:firstLine="468" w:firstLineChars="200"/>
        <w:textAlignment w:val="baseline"/>
        <w:rPr>
          <w:rFonts w:hint="eastAsia" w:ascii="黑体" w:hAnsi="黑体" w:eastAsia="黑体" w:cs="黑体"/>
          <w:spacing w:val="-3"/>
          <w:sz w:val="24"/>
          <w:szCs w:val="24"/>
        </w:rPr>
      </w:pPr>
      <w:r>
        <w:rPr>
          <w:rFonts w:hint="eastAsia" w:ascii="黑体" w:hAnsi="黑体" w:eastAsia="黑体" w:cs="黑体"/>
          <w:spacing w:val="-3"/>
          <w:sz w:val="24"/>
          <w:szCs w:val="24"/>
        </w:rPr>
        <w:t>《工作场所安全使用化学品规定》（</w:t>
      </w:r>
      <w:r>
        <w:rPr>
          <w:rFonts w:hint="eastAsia" w:ascii="黑体" w:hAnsi="黑体" w:eastAsia="黑体" w:cs="黑体"/>
          <w:spacing w:val="-60"/>
          <w:sz w:val="24"/>
          <w:szCs w:val="24"/>
        </w:rPr>
        <w:t xml:space="preserve"> </w:t>
      </w:r>
      <w:r>
        <w:rPr>
          <w:rFonts w:hint="eastAsia" w:ascii="黑体" w:hAnsi="黑体" w:eastAsia="黑体" w:cs="黑体"/>
          <w:spacing w:val="-3"/>
          <w:sz w:val="24"/>
          <w:szCs w:val="24"/>
        </w:rPr>
        <w:t>[</w:t>
      </w:r>
      <w:r>
        <w:rPr>
          <w:rFonts w:hint="eastAsia" w:ascii="黑体" w:hAnsi="黑体" w:eastAsia="黑体" w:cs="黑体"/>
          <w:spacing w:val="-36"/>
          <w:sz w:val="24"/>
          <w:szCs w:val="24"/>
        </w:rPr>
        <w:t xml:space="preserve"> </w:t>
      </w:r>
      <w:r>
        <w:rPr>
          <w:rFonts w:hint="eastAsia" w:ascii="黑体" w:hAnsi="黑体" w:eastAsia="黑体" w:cs="黑体"/>
          <w:sz w:val="24"/>
          <w:szCs w:val="24"/>
        </w:rPr>
        <w:fldChar w:fldCharType="begin"/>
      </w:r>
      <w:r>
        <w:rPr>
          <w:rFonts w:hint="eastAsia" w:ascii="黑体" w:hAnsi="黑体" w:eastAsia="黑体" w:cs="黑体"/>
          <w:sz w:val="24"/>
          <w:szCs w:val="24"/>
        </w:rPr>
        <w:instrText xml:space="preserve"> HYPERLINK \l "bookmark1" </w:instrText>
      </w:r>
      <w:r>
        <w:rPr>
          <w:rFonts w:hint="eastAsia" w:ascii="黑体" w:hAnsi="黑体" w:eastAsia="黑体" w:cs="黑体"/>
          <w:sz w:val="24"/>
          <w:szCs w:val="24"/>
        </w:rPr>
        <w:fldChar w:fldCharType="separate"/>
      </w:r>
      <w:r>
        <w:rPr>
          <w:rFonts w:hint="eastAsia" w:ascii="黑体" w:hAnsi="黑体" w:eastAsia="黑体" w:cs="黑体"/>
          <w:spacing w:val="-3"/>
          <w:sz w:val="24"/>
          <w:szCs w:val="24"/>
        </w:rPr>
        <w:t>1996</w:t>
      </w:r>
      <w:r>
        <w:rPr>
          <w:rFonts w:hint="eastAsia" w:ascii="黑体" w:hAnsi="黑体" w:eastAsia="黑体" w:cs="黑体"/>
          <w:spacing w:val="-3"/>
          <w:sz w:val="24"/>
          <w:szCs w:val="24"/>
        </w:rPr>
        <w:fldChar w:fldCharType="end"/>
      </w:r>
      <w:r>
        <w:rPr>
          <w:rFonts w:hint="eastAsia" w:ascii="黑体" w:hAnsi="黑体" w:eastAsia="黑体" w:cs="黑体"/>
          <w:spacing w:val="-3"/>
          <w:sz w:val="24"/>
          <w:szCs w:val="24"/>
        </w:rPr>
        <w:t>]劳部发</w:t>
      </w:r>
      <w:r>
        <w:rPr>
          <w:rFonts w:hint="eastAsia" w:ascii="黑体" w:hAnsi="黑体" w:eastAsia="黑体" w:cs="黑体"/>
          <w:spacing w:val="-54"/>
          <w:sz w:val="24"/>
          <w:szCs w:val="24"/>
        </w:rPr>
        <w:t xml:space="preserve"> </w:t>
      </w:r>
      <w:r>
        <w:rPr>
          <w:rFonts w:hint="eastAsia" w:ascii="黑体" w:hAnsi="黑体" w:eastAsia="黑体" w:cs="黑体"/>
          <w:spacing w:val="-3"/>
          <w:sz w:val="24"/>
          <w:szCs w:val="24"/>
        </w:rPr>
        <w:t>423 号）</w:t>
      </w:r>
    </w:p>
    <w:p w14:paraId="42CC6F9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2" w:line="360" w:lineRule="auto"/>
        <w:ind w:left="237" w:firstLine="476" w:firstLineChars="200"/>
        <w:textAlignment w:val="baseline"/>
        <w:rPr>
          <w:rFonts w:hint="eastAsia" w:ascii="黑体" w:hAnsi="黑体" w:eastAsia="黑体" w:cs="黑体"/>
          <w:spacing w:val="-1"/>
          <w:sz w:val="24"/>
          <w:szCs w:val="24"/>
        </w:rPr>
      </w:pPr>
      <w:r>
        <w:rPr>
          <w:rFonts w:hint="eastAsia" w:ascii="黑体" w:hAnsi="黑体" w:eastAsia="黑体" w:cs="黑体"/>
          <w:spacing w:val="-1"/>
          <w:sz w:val="24"/>
          <w:szCs w:val="24"/>
        </w:rPr>
        <w:t>《化学品分类和标签规范》 (GB 30000-2013)</w:t>
      </w:r>
    </w:p>
    <w:p w14:paraId="6FEACCD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2" w:line="360" w:lineRule="auto"/>
        <w:ind w:left="237" w:firstLine="472" w:firstLineChars="200"/>
        <w:textAlignment w:val="baseline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pacing w:val="-2"/>
          <w:sz w:val="24"/>
          <w:szCs w:val="24"/>
        </w:rPr>
        <w:t>《工作场所有害因素职业接触限值 第</w:t>
      </w:r>
      <w:r>
        <w:rPr>
          <w:rFonts w:hint="eastAsia" w:ascii="黑体" w:hAnsi="黑体" w:eastAsia="黑体" w:cs="黑体"/>
          <w:spacing w:val="-26"/>
          <w:sz w:val="24"/>
          <w:szCs w:val="24"/>
        </w:rPr>
        <w:t xml:space="preserve"> </w:t>
      </w:r>
      <w:r>
        <w:rPr>
          <w:rFonts w:hint="eastAsia" w:ascii="黑体" w:hAnsi="黑体" w:eastAsia="黑体" w:cs="黑体"/>
          <w:spacing w:val="-2"/>
          <w:sz w:val="24"/>
          <w:szCs w:val="24"/>
        </w:rPr>
        <w:t>1 部分：化学有害因素》（GBZ2.</w:t>
      </w:r>
      <w:r>
        <w:rPr>
          <w:rFonts w:hint="eastAsia" w:ascii="黑体" w:hAnsi="黑体" w:eastAsia="黑体" w:cs="黑体"/>
          <w:spacing w:val="-36"/>
          <w:sz w:val="24"/>
          <w:szCs w:val="24"/>
        </w:rPr>
        <w:t xml:space="preserve"> </w:t>
      </w:r>
      <w:r>
        <w:rPr>
          <w:rFonts w:hint="eastAsia" w:ascii="黑体" w:hAnsi="黑体" w:eastAsia="黑体" w:cs="黑体"/>
          <w:spacing w:val="-2"/>
          <w:sz w:val="24"/>
          <w:szCs w:val="24"/>
        </w:rPr>
        <w:t>1-2019）</w:t>
      </w:r>
      <w:r>
        <w:rPr>
          <w:rFonts w:hint="eastAsia" w:ascii="黑体" w:hAnsi="黑体" w:eastAsia="黑体" w:cs="黑体"/>
          <w:sz w:val="24"/>
          <w:szCs w:val="24"/>
        </w:rPr>
        <w:t xml:space="preserve"> </w:t>
      </w:r>
      <w:r>
        <w:rPr>
          <w:rFonts w:hint="eastAsia" w:ascii="黑体" w:hAnsi="黑体" w:eastAsia="黑体" w:cs="黑体"/>
          <w:spacing w:val="-4"/>
          <w:sz w:val="24"/>
          <w:szCs w:val="24"/>
        </w:rPr>
        <w:t>《危险货物品名表》（GB</w:t>
      </w:r>
      <w:r>
        <w:rPr>
          <w:rFonts w:hint="eastAsia" w:ascii="黑体" w:hAnsi="黑体" w:eastAsia="黑体" w:cs="黑体"/>
          <w:spacing w:val="27"/>
          <w:sz w:val="24"/>
          <w:szCs w:val="24"/>
        </w:rPr>
        <w:t xml:space="preserve"> </w:t>
      </w:r>
      <w:r>
        <w:rPr>
          <w:rFonts w:hint="eastAsia" w:ascii="黑体" w:hAnsi="黑体" w:eastAsia="黑体" w:cs="黑体"/>
          <w:spacing w:val="-4"/>
          <w:sz w:val="24"/>
          <w:szCs w:val="24"/>
        </w:rPr>
        <w:t>12268-2012</w:t>
      </w:r>
      <w:r>
        <w:rPr>
          <w:rFonts w:hint="eastAsia" w:ascii="黑体" w:hAnsi="黑体" w:eastAsia="黑体" w:cs="黑体"/>
          <w:spacing w:val="-50"/>
          <w:sz w:val="24"/>
          <w:szCs w:val="24"/>
        </w:rPr>
        <w:t>）：</w:t>
      </w:r>
      <w:r>
        <w:rPr>
          <w:rFonts w:hint="eastAsia" w:ascii="黑体" w:hAnsi="黑体" w:eastAsia="黑体" w:cs="黑体"/>
          <w:spacing w:val="-4"/>
          <w:sz w:val="24"/>
          <w:szCs w:val="24"/>
        </w:rPr>
        <w:t>将该物质划为第</w:t>
      </w:r>
      <w:r>
        <w:rPr>
          <w:rFonts w:hint="eastAsia" w:ascii="黑体" w:hAnsi="黑体" w:eastAsia="黑体" w:cs="黑体"/>
          <w:spacing w:val="-39"/>
          <w:sz w:val="24"/>
          <w:szCs w:val="24"/>
        </w:rPr>
        <w:t xml:space="preserve"> </w:t>
      </w:r>
      <w:r>
        <w:rPr>
          <w:rFonts w:hint="eastAsia" w:ascii="黑体" w:hAnsi="黑体" w:eastAsia="黑体" w:cs="黑体"/>
          <w:spacing w:val="-4"/>
          <w:sz w:val="24"/>
          <w:szCs w:val="24"/>
        </w:rPr>
        <w:t>8 类腐蚀性</w:t>
      </w:r>
      <w:r>
        <w:rPr>
          <w:rFonts w:hint="eastAsia" w:ascii="黑体" w:hAnsi="黑体" w:eastAsia="黑体" w:cs="黑体"/>
          <w:spacing w:val="-5"/>
          <w:sz w:val="24"/>
          <w:szCs w:val="24"/>
        </w:rPr>
        <w:t>物质。</w:t>
      </w:r>
    </w:p>
    <w:p w14:paraId="747568A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="黑体" w:hAnsi="黑体" w:eastAsia="黑体" w:cs="黑体"/>
          <w:spacing w:val="-2"/>
          <w:sz w:val="24"/>
          <w:szCs w:val="24"/>
          <w:lang w:val="en-US" w:eastAsia="en-US"/>
        </w:rPr>
      </w:pPr>
      <w:bookmarkStart w:id="0" w:name="_GoBack"/>
      <w:bookmarkEnd w:id="0"/>
    </w:p>
    <w:sectPr>
      <w:headerReference r:id="rId5" w:type="default"/>
      <w:footerReference r:id="rId6" w:type="default"/>
      <w:pgSz w:w="11907" w:h="16839"/>
      <w:pgMar w:top="1160" w:right="1766" w:bottom="1252" w:left="1769" w:header="837" w:footer="96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4FAF04">
    <w:pPr>
      <w:pStyle w:val="2"/>
      <w:spacing w:before="56" w:line="222" w:lineRule="auto"/>
      <w:rPr>
        <w:sz w:val="18"/>
        <w:szCs w:val="18"/>
      </w:rPr>
    </w:pPr>
    <w:r>
      <w:pict>
        <v:shape id="_x0000_s2076" o:spid="_x0000_s2076" style="position:absolute;left:0pt;margin-left:88.45pt;margin-top:779.25pt;height:0.5pt;width:418.55pt;mso-position-horizontal-relative:page;mso-position-vertical-relative:page;z-index:251666432;mso-width-relative:page;mso-height-relative:page;" fillcolor="#000000" filled="t" stroked="f" coordsize="8370,10" o:allowincell="f" path="m0,9l8370,9,8370,0,0,0,0,9xe">
          <v:path/>
          <v:fill on="t" focussize="0,0"/>
          <v:stroke on="f"/>
          <v:imagedata o:title=""/>
          <o:lock v:ext="edit"/>
        </v:shape>
      </w:pict>
    </w:r>
    <w:r>
      <w:pict>
        <v:shape id="_x0000_s2077" o:spid="_x0000_s2077" o:spt="202" type="#_x0000_t202" style="position:absolute;left:0pt;margin-left:330.35pt;margin-top:1.8pt;height:13.35pt;width:15.55pt;z-index:251667456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>
            <w:txbxContent>
              <w:p w14:paraId="6D135FDC">
                <w:pPr>
                  <w:pStyle w:val="2"/>
                  <w:spacing w:before="20" w:line="232" w:lineRule="auto"/>
                  <w:ind w:left="20"/>
                  <w:rPr>
                    <w:rFonts w:ascii="Arial" w:hAnsi="Arial" w:eastAsia="Arial" w:cs="Arial"/>
                    <w:sz w:val="18"/>
                    <w:szCs w:val="18"/>
                  </w:rPr>
                </w:pPr>
              </w:p>
            </w:txbxContent>
          </v:textbox>
        </v:shape>
      </w:pict>
    </w:r>
    <w:r>
      <w:pict>
        <v:shape id="_x0000_s2078" o:spid="_x0000_s2078" o:spt="202" type="#_x0000_t202" style="position:absolute;left:0pt;margin-left:349.05pt;margin-top:1.8pt;height:12.85pt;width:10.45pt;z-index:251668480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>
            <w:txbxContent>
              <w:p w14:paraId="59764D35">
                <w:pPr>
                  <w:pStyle w:val="2"/>
                  <w:spacing w:before="19" w:line="222" w:lineRule="auto"/>
                  <w:rPr>
                    <w:sz w:val="18"/>
                    <w:szCs w:val="18"/>
                  </w:rPr>
                </w:pPr>
              </w:p>
            </w:txbxContent>
          </v:textbox>
        </v:shape>
      </w:pict>
    </w:r>
    <w:r>
      <w:pict>
        <v:shape id="_x0000_s2079" o:spid="_x0000_s2079" o:spt="202" type="#_x0000_t202" style="position:absolute;left:0pt;margin-left:362.15pt;margin-top:1.8pt;height:13.35pt;width:29.3pt;z-index:251665408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>
            <w:txbxContent>
              <w:p w14:paraId="28AAB7CF">
                <w:pPr>
                  <w:pStyle w:val="2"/>
                  <w:spacing w:before="20" w:line="232" w:lineRule="auto"/>
                  <w:rPr>
                    <w:sz w:val="18"/>
                    <w:szCs w:val="18"/>
                  </w:rPr>
                </w:pP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8EBBEE">
    <w:pPr>
      <w:pStyle w:val="2"/>
      <w:spacing w:before="41" w:line="232" w:lineRule="auto"/>
      <w:ind w:left="35"/>
      <w:rPr>
        <w:rFonts w:ascii="Arial" w:hAnsi="Arial" w:eastAsia="Arial" w:cs="Arial"/>
        <w:sz w:val="18"/>
        <w:szCs w:val="18"/>
      </w:rPr>
    </w:pPr>
    <w:r>
      <w:pict>
        <v:shape id="_x0000_s2059" o:spid="_x0000_s2059" style="position:absolute;left:0pt;margin-left:88.45pt;margin-top:55.2pt;height:0.75pt;width:418.55pt;mso-position-horizontal-relative:page;mso-position-vertical-relative:page;z-index:251664384;mso-width-relative:page;mso-height-relative:page;" fillcolor="#000000" filled="t" stroked="f" coordsize="8370,15" o:allowincell="f" path="m0,14l8370,14,8370,0,0,0,0,14xe">
          <v:path/>
          <v:fill on="t" focussize="0,0"/>
          <v:stroke on="f"/>
          <v:imagedata o:title=""/>
          <o:lock v:ext="edi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67E07D3"/>
    <w:rsid w:val="0D8E59EC"/>
    <w:rsid w:val="1C921E0E"/>
    <w:rsid w:val="39752F19"/>
    <w:rsid w:val="48A23E2C"/>
    <w:rsid w:val="4AAF647A"/>
    <w:rsid w:val="7A877F9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jpeg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59"/>
    <customShpInfo spid="_x0000_s2076"/>
    <customShpInfo spid="_x0000_s2077"/>
    <customShpInfo spid="_x0000_s2078"/>
    <customShpInfo spid="_x0000_s2079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8</Pages>
  <Words>3290</Words>
  <Characters>3572</Characters>
  <TotalTime>16</TotalTime>
  <ScaleCrop>false</ScaleCrop>
  <LinksUpToDate>false</LinksUpToDate>
  <CharactersWithSpaces>3789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2023-11-15T09:36:00Z</dcterms:created>
  <dc:creator>YUY</dc:creator>
  <cp:lastModifiedBy>cssy</cp:lastModifiedBy>
  <dcterms:modified xsi:type="dcterms:W3CDTF">2026-08-20T08:08:56Z</dcterms:modified>
  <dc:title>化学品安全技术说明书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2026-08-19T14:58:59Z</vt:filetime>
  </property>
  <property fmtid="{D5CDD505-2E9C-101B-9397-08002B2CF9AE}" pid="4" name="KSOTemplateDocerSaveRecord">
    <vt:lpwstr>eyJoZGlkIjoiODFiMTE5MGUxZWU2MGNmMjQ2NDc4N2ZiMGFmYmMwZWMiLCJ1c2VySWQiOiIxNjA0Nzc1NDgwIn0=</vt:lpwstr>
  </property>
  <property fmtid="{D5CDD505-2E9C-101B-9397-08002B2CF9AE}" pid="5" name="KSOProductBuildVer">
    <vt:lpwstr>2052-12.1.0.28043</vt:lpwstr>
  </property>
  <property fmtid="{D5CDD505-2E9C-101B-9397-08002B2CF9AE}" pid="6" name="ICV">
    <vt:lpwstr>7254B417C91148588A908C944E88C25E_13</vt:lpwstr>
  </property>
</Properties>
</file>